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eastAsia="宋体" w:cs="Arial"/>
          <w:kern w:val="2"/>
          <w:sz w:val="32"/>
          <w:szCs w:val="32"/>
          <w:lang w:val="en-US" w:eastAsia="zh-CN" w:bidi="ar-SA"/>
        </w:rPr>
        <w:id w:val="2086618218"/>
        <w15:color w:val="DBDBDB"/>
        <w:docPartObj>
          <w:docPartGallery w:val="Table of Contents"/>
          <w:docPartUnique/>
        </w:docPartObj>
      </w:sdtPr>
      <w:sdtEndPr>
        <w:rPr>
          <w:rFonts w:hint="eastAsia" w:ascii="仿宋" w:eastAsia="仿宋" w:cs="仿宋"/>
          <w:b/>
          <w:bCs/>
          <w:kern w:val="44"/>
          <w:sz w:val="30"/>
          <w:szCs w:val="30"/>
          <w:lang w:val="en-US" w:eastAsia="zh-CN" w:bidi="ar-SA"/>
        </w:rPr>
      </w:sdtEndPr>
      <w:sdtContent>
        <w:p>
          <w:pPr>
            <w:spacing w:before="0" w:after="0" w:line="240" w:lineRule="auto"/>
            <w:ind w:left="0" w:right="0" w:firstLine="0"/>
            <w:jc w:val="center"/>
            <w:rPr>
              <w:sz w:val="32"/>
              <w:szCs w:val="32"/>
            </w:rPr>
          </w:pPr>
          <w:r>
            <w:rPr>
              <w:rFonts w:ascii="宋体" w:eastAsia="宋体"/>
              <w:sz w:val="32"/>
              <w:szCs w:val="32"/>
            </w:rPr>
            <w:t>目录</w:t>
          </w:r>
        </w:p>
        <w:p>
          <w:pPr>
            <w:pStyle w:val="5"/>
            <w:tabs>
              <w:tab w:val="right" w:leader="dot" w:pos="8306"/>
            </w:tabs>
            <w:rPr>
              <w:sz w:val="32"/>
              <w:szCs w:val="32"/>
            </w:rPr>
          </w:pPr>
          <w:r>
            <w:rPr>
              <w:rFonts w:hint="eastAsia" w:ascii="仿宋" w:eastAsia="仿宋" w:cs="仿宋"/>
              <w:sz w:val="32"/>
              <w:szCs w:val="32"/>
              <w:lang w:val="en-US" w:eastAsia="zh-CN"/>
            </w:rPr>
            <w:fldChar w:fldCharType="begin"/>
          </w:r>
          <w:r>
            <w:rPr>
              <w:rFonts w:hint="eastAsia" w:ascii="仿宋" w:eastAsia="仿宋" w:cs="仿宋"/>
              <w:sz w:val="32"/>
              <w:szCs w:val="32"/>
              <w:lang w:val="en-US" w:eastAsia="zh-CN"/>
            </w:rPr>
            <w:instrText xml:space="preserve">TOC \o "1-2" \h \u </w:instrText>
          </w:r>
          <w:r>
            <w:rPr>
              <w:rFonts w:hint="eastAsia" w:ascii="仿宋" w:eastAsia="仿宋" w:cs="仿宋"/>
              <w:sz w:val="32"/>
              <w:szCs w:val="32"/>
              <w:lang w:val="en-US" w:eastAsia="zh-CN"/>
            </w:rPr>
            <w:fldChar w:fldCharType="separate"/>
          </w:r>
          <w:r>
            <w:rPr>
              <w:rFonts w:hint="eastAsia" w:ascii="仿宋" w:eastAsia="仿宋" w:cs="仿宋"/>
              <w:sz w:val="32"/>
              <w:szCs w:val="32"/>
              <w:lang w:val="en-US" w:eastAsia="zh-CN"/>
            </w:rPr>
            <w:fldChar w:fldCharType="begin"/>
          </w:r>
          <w:r>
            <w:rPr>
              <w:rFonts w:hint="eastAsia" w:ascii="仿宋" w:eastAsia="仿宋" w:cs="仿宋"/>
              <w:sz w:val="32"/>
              <w:szCs w:val="32"/>
              <w:lang w:val="en-US" w:eastAsia="zh-CN"/>
            </w:rPr>
            <w:instrText xml:space="preserve"> HYPERLINK \l _Toc23805 </w:instrText>
          </w:r>
          <w:r>
            <w:rPr>
              <w:rFonts w:hint="eastAsia" w:ascii="仿宋" w:eastAsia="仿宋" w:cs="仿宋"/>
              <w:sz w:val="32"/>
              <w:szCs w:val="32"/>
              <w:lang w:val="en-US" w:eastAsia="zh-CN"/>
            </w:rPr>
            <w:fldChar w:fldCharType="separate"/>
          </w:r>
          <w:r>
            <w:rPr>
              <w:rFonts w:hint="eastAsia"/>
              <w:sz w:val="32"/>
              <w:szCs w:val="32"/>
              <w:lang w:val="en-US" w:eastAsia="zh-CN"/>
            </w:rPr>
            <w:t>新出台的税费支持政策</w:t>
          </w:r>
          <w:r>
            <w:rPr>
              <w:sz w:val="32"/>
              <w:szCs w:val="32"/>
            </w:rPr>
            <w:tab/>
          </w:r>
          <w:r>
            <w:rPr>
              <w:sz w:val="32"/>
              <w:szCs w:val="32"/>
            </w:rPr>
            <w:fldChar w:fldCharType="begin"/>
          </w:r>
          <w:r>
            <w:rPr>
              <w:sz w:val="32"/>
              <w:szCs w:val="32"/>
            </w:rPr>
            <w:instrText xml:space="preserve"> PAGEREF _Toc23805 \h </w:instrText>
          </w:r>
          <w:r>
            <w:rPr>
              <w:sz w:val="32"/>
              <w:szCs w:val="32"/>
            </w:rPr>
            <w:fldChar w:fldCharType="separate"/>
          </w:r>
          <w:r>
            <w:rPr>
              <w:sz w:val="32"/>
              <w:szCs w:val="32"/>
            </w:rPr>
            <w:t>1</w:t>
          </w:r>
          <w:r>
            <w:rPr>
              <w:sz w:val="32"/>
              <w:szCs w:val="32"/>
            </w:rPr>
            <w:fldChar w:fldCharType="end"/>
          </w:r>
          <w:r>
            <w:rPr>
              <w:rFonts w:hint="eastAsia" w:ascii="仿宋" w:eastAsia="仿宋" w:cs="仿宋"/>
              <w:sz w:val="32"/>
              <w:szCs w:val="32"/>
              <w:lang w:val="en-US" w:eastAsia="zh-CN"/>
            </w:rPr>
            <w:fldChar w:fldCharType="end"/>
          </w:r>
        </w:p>
        <w:p>
          <w:pPr>
            <w:pStyle w:val="6"/>
            <w:tabs>
              <w:tab w:val="right" w:leader="dot" w:pos="8306"/>
            </w:tabs>
            <w:rPr>
              <w:sz w:val="32"/>
              <w:szCs w:val="32"/>
            </w:rPr>
          </w:pPr>
          <w:r>
            <w:rPr>
              <w:rFonts w:hint="eastAsia" w:ascii="仿宋" w:eastAsia="仿宋" w:cs="仿宋"/>
              <w:sz w:val="32"/>
              <w:szCs w:val="32"/>
              <w:lang w:val="en-US" w:eastAsia="zh-CN"/>
            </w:rPr>
            <w:fldChar w:fldCharType="begin"/>
          </w:r>
          <w:r>
            <w:rPr>
              <w:rFonts w:hint="eastAsia" w:ascii="仿宋" w:eastAsia="仿宋" w:cs="仿宋"/>
              <w:sz w:val="32"/>
              <w:szCs w:val="32"/>
              <w:lang w:val="en-US" w:eastAsia="zh-CN"/>
            </w:rPr>
            <w:instrText xml:space="preserve"> HYPERLINK \l _Toc18806 </w:instrText>
          </w:r>
          <w:r>
            <w:rPr>
              <w:rFonts w:hint="eastAsia" w:ascii="仿宋" w:eastAsia="仿宋" w:cs="仿宋"/>
              <w:sz w:val="32"/>
              <w:szCs w:val="32"/>
              <w:lang w:val="en-US" w:eastAsia="zh-CN"/>
            </w:rPr>
            <w:fldChar w:fldCharType="separate"/>
          </w:r>
          <w:r>
            <w:rPr>
              <w:rFonts w:hint="eastAsia"/>
              <w:sz w:val="32"/>
              <w:szCs w:val="32"/>
              <w:lang w:val="en-US" w:eastAsia="zh-CN"/>
            </w:rPr>
            <w:t>1、2022年增值税期末留抵政策</w:t>
          </w:r>
          <w:r>
            <w:rPr>
              <w:sz w:val="32"/>
              <w:szCs w:val="32"/>
            </w:rPr>
            <w:tab/>
          </w:r>
          <w:r>
            <w:rPr>
              <w:sz w:val="32"/>
              <w:szCs w:val="32"/>
            </w:rPr>
            <w:fldChar w:fldCharType="begin"/>
          </w:r>
          <w:r>
            <w:rPr>
              <w:sz w:val="32"/>
              <w:szCs w:val="32"/>
            </w:rPr>
            <w:instrText xml:space="preserve"> PAGEREF _Toc18806 \h </w:instrText>
          </w:r>
          <w:r>
            <w:rPr>
              <w:sz w:val="32"/>
              <w:szCs w:val="32"/>
            </w:rPr>
            <w:fldChar w:fldCharType="separate"/>
          </w:r>
          <w:r>
            <w:rPr>
              <w:sz w:val="32"/>
              <w:szCs w:val="32"/>
            </w:rPr>
            <w:t>1</w:t>
          </w:r>
          <w:r>
            <w:rPr>
              <w:sz w:val="32"/>
              <w:szCs w:val="32"/>
            </w:rPr>
            <w:fldChar w:fldCharType="end"/>
          </w:r>
          <w:r>
            <w:rPr>
              <w:rFonts w:hint="eastAsia" w:ascii="仿宋" w:eastAsia="仿宋" w:cs="仿宋"/>
              <w:sz w:val="32"/>
              <w:szCs w:val="32"/>
              <w:lang w:val="en-US" w:eastAsia="zh-CN"/>
            </w:rPr>
            <w:fldChar w:fldCharType="end"/>
          </w:r>
        </w:p>
        <w:p>
          <w:pPr>
            <w:pStyle w:val="6"/>
            <w:tabs>
              <w:tab w:val="right" w:leader="dot" w:pos="8306"/>
            </w:tabs>
            <w:rPr>
              <w:sz w:val="32"/>
              <w:szCs w:val="32"/>
            </w:rPr>
          </w:pPr>
          <w:r>
            <w:rPr>
              <w:rFonts w:hint="eastAsia" w:ascii="仿宋" w:eastAsia="仿宋" w:cs="仿宋"/>
              <w:sz w:val="32"/>
              <w:szCs w:val="32"/>
              <w:lang w:val="en-US" w:eastAsia="zh-CN"/>
            </w:rPr>
            <w:fldChar w:fldCharType="begin"/>
          </w:r>
          <w:r>
            <w:rPr>
              <w:rFonts w:hint="eastAsia" w:ascii="仿宋" w:eastAsia="仿宋" w:cs="仿宋"/>
              <w:sz w:val="32"/>
              <w:szCs w:val="32"/>
              <w:lang w:val="en-US" w:eastAsia="zh-CN"/>
            </w:rPr>
            <w:instrText xml:space="preserve"> HYPERLINK \l _Toc28755 </w:instrText>
          </w:r>
          <w:r>
            <w:rPr>
              <w:rFonts w:hint="eastAsia" w:ascii="仿宋" w:eastAsia="仿宋" w:cs="仿宋"/>
              <w:sz w:val="32"/>
              <w:szCs w:val="32"/>
              <w:lang w:val="en-US" w:eastAsia="zh-CN"/>
            </w:rPr>
            <w:fldChar w:fldCharType="separate"/>
          </w:r>
          <w:r>
            <w:rPr>
              <w:rFonts w:hint="eastAsia"/>
              <w:sz w:val="32"/>
              <w:szCs w:val="32"/>
              <w:lang w:val="en-US" w:eastAsia="zh-CN"/>
            </w:rPr>
            <w:t>2、 中小微企业设备器具所得税税前扣除政策</w:t>
          </w:r>
          <w:r>
            <w:rPr>
              <w:sz w:val="32"/>
              <w:szCs w:val="32"/>
            </w:rPr>
            <w:tab/>
          </w:r>
          <w:r>
            <w:rPr>
              <w:sz w:val="32"/>
              <w:szCs w:val="32"/>
            </w:rPr>
            <w:fldChar w:fldCharType="begin"/>
          </w:r>
          <w:r>
            <w:rPr>
              <w:sz w:val="32"/>
              <w:szCs w:val="32"/>
            </w:rPr>
            <w:instrText xml:space="preserve"> PAGEREF _Toc28755 \h </w:instrText>
          </w:r>
          <w:r>
            <w:rPr>
              <w:sz w:val="32"/>
              <w:szCs w:val="32"/>
            </w:rPr>
            <w:fldChar w:fldCharType="separate"/>
          </w:r>
          <w:r>
            <w:rPr>
              <w:sz w:val="32"/>
              <w:szCs w:val="32"/>
            </w:rPr>
            <w:t>11</w:t>
          </w:r>
          <w:r>
            <w:rPr>
              <w:sz w:val="32"/>
              <w:szCs w:val="32"/>
            </w:rPr>
            <w:fldChar w:fldCharType="end"/>
          </w:r>
          <w:r>
            <w:rPr>
              <w:rFonts w:hint="eastAsia" w:ascii="仿宋" w:eastAsia="仿宋" w:cs="仿宋"/>
              <w:sz w:val="32"/>
              <w:szCs w:val="32"/>
              <w:lang w:val="en-US" w:eastAsia="zh-CN"/>
            </w:rPr>
            <w:fldChar w:fldCharType="end"/>
          </w:r>
        </w:p>
        <w:p>
          <w:pPr>
            <w:pStyle w:val="6"/>
            <w:tabs>
              <w:tab w:val="right" w:leader="dot" w:pos="8306"/>
            </w:tabs>
            <w:rPr>
              <w:sz w:val="32"/>
              <w:szCs w:val="32"/>
            </w:rPr>
          </w:pPr>
          <w:r>
            <w:rPr>
              <w:rFonts w:hint="eastAsia" w:ascii="仿宋" w:eastAsia="仿宋" w:cs="仿宋"/>
              <w:sz w:val="32"/>
              <w:szCs w:val="32"/>
              <w:lang w:val="en-US" w:eastAsia="zh-CN"/>
            </w:rPr>
            <w:fldChar w:fldCharType="begin"/>
          </w:r>
          <w:r>
            <w:rPr>
              <w:rFonts w:hint="eastAsia" w:ascii="仿宋" w:eastAsia="仿宋" w:cs="仿宋"/>
              <w:sz w:val="32"/>
              <w:szCs w:val="32"/>
              <w:lang w:val="en-US" w:eastAsia="zh-CN"/>
            </w:rPr>
            <w:instrText xml:space="preserve"> HYPERLINK \l _Toc9554 </w:instrText>
          </w:r>
          <w:r>
            <w:rPr>
              <w:rFonts w:hint="eastAsia" w:ascii="仿宋" w:eastAsia="仿宋" w:cs="仿宋"/>
              <w:sz w:val="32"/>
              <w:szCs w:val="32"/>
              <w:lang w:val="en-US" w:eastAsia="zh-CN"/>
            </w:rPr>
            <w:fldChar w:fldCharType="separate"/>
          </w:r>
          <w:r>
            <w:rPr>
              <w:sz w:val="32"/>
              <w:szCs w:val="32"/>
              <w:lang w:val="en-US" w:eastAsia="zh-CN"/>
            </w:rPr>
            <w:t xml:space="preserve">3、 </w:t>
          </w:r>
          <w:r>
            <w:rPr>
              <w:rFonts w:hint="eastAsia"/>
              <w:sz w:val="32"/>
              <w:szCs w:val="32"/>
              <w:lang w:val="en-US" w:eastAsia="zh-CN"/>
            </w:rPr>
            <w:t>航空和铁路运输企业分支机构暂停预缴增值税政策及公共交通运输服务免征增值税政策</w:t>
          </w:r>
          <w:r>
            <w:rPr>
              <w:sz w:val="32"/>
              <w:szCs w:val="32"/>
            </w:rPr>
            <w:tab/>
          </w:r>
          <w:r>
            <w:rPr>
              <w:sz w:val="32"/>
              <w:szCs w:val="32"/>
            </w:rPr>
            <w:fldChar w:fldCharType="begin"/>
          </w:r>
          <w:r>
            <w:rPr>
              <w:sz w:val="32"/>
              <w:szCs w:val="32"/>
            </w:rPr>
            <w:instrText xml:space="preserve"> PAGEREF _Toc9554 \h </w:instrText>
          </w:r>
          <w:r>
            <w:rPr>
              <w:sz w:val="32"/>
              <w:szCs w:val="32"/>
            </w:rPr>
            <w:fldChar w:fldCharType="separate"/>
          </w:r>
          <w:r>
            <w:rPr>
              <w:sz w:val="32"/>
              <w:szCs w:val="32"/>
            </w:rPr>
            <w:t>13</w:t>
          </w:r>
          <w:r>
            <w:rPr>
              <w:sz w:val="32"/>
              <w:szCs w:val="32"/>
            </w:rPr>
            <w:fldChar w:fldCharType="end"/>
          </w:r>
          <w:r>
            <w:rPr>
              <w:rFonts w:hint="eastAsia" w:ascii="仿宋" w:eastAsia="仿宋" w:cs="仿宋"/>
              <w:sz w:val="32"/>
              <w:szCs w:val="32"/>
              <w:lang w:val="en-US" w:eastAsia="zh-CN"/>
            </w:rPr>
            <w:fldChar w:fldCharType="end"/>
          </w:r>
        </w:p>
        <w:p>
          <w:pPr>
            <w:pStyle w:val="6"/>
            <w:tabs>
              <w:tab w:val="right" w:leader="dot" w:pos="8306"/>
            </w:tabs>
            <w:rPr>
              <w:sz w:val="32"/>
              <w:szCs w:val="32"/>
            </w:rPr>
          </w:pPr>
          <w:r>
            <w:rPr>
              <w:rFonts w:hint="eastAsia" w:ascii="仿宋" w:eastAsia="仿宋" w:cs="仿宋"/>
              <w:sz w:val="32"/>
              <w:szCs w:val="32"/>
              <w:lang w:val="en-US" w:eastAsia="zh-CN"/>
            </w:rPr>
            <w:fldChar w:fldCharType="begin"/>
          </w:r>
          <w:r>
            <w:rPr>
              <w:rFonts w:hint="eastAsia" w:ascii="仿宋" w:eastAsia="仿宋" w:cs="仿宋"/>
              <w:sz w:val="32"/>
              <w:szCs w:val="32"/>
              <w:lang w:val="en-US" w:eastAsia="zh-CN"/>
            </w:rPr>
            <w:instrText xml:space="preserve"> HYPERLINK \l _Toc32324 </w:instrText>
          </w:r>
          <w:r>
            <w:rPr>
              <w:rFonts w:hint="eastAsia" w:ascii="仿宋" w:eastAsia="仿宋" w:cs="仿宋"/>
              <w:sz w:val="32"/>
              <w:szCs w:val="32"/>
              <w:lang w:val="en-US" w:eastAsia="zh-CN"/>
            </w:rPr>
            <w:fldChar w:fldCharType="separate"/>
          </w:r>
          <w:r>
            <w:rPr>
              <w:sz w:val="32"/>
              <w:szCs w:val="32"/>
              <w:lang w:val="en-US" w:eastAsia="zh-CN"/>
            </w:rPr>
            <w:t xml:space="preserve">4、 </w:t>
          </w:r>
          <w:r>
            <w:rPr>
              <w:rFonts w:hint="eastAsia"/>
              <w:sz w:val="32"/>
              <w:szCs w:val="32"/>
              <w:lang w:val="en-US" w:eastAsia="zh-CN"/>
            </w:rPr>
            <w:t>3岁以下婴幼儿护照个人所得税专项附加扣除政策</w:t>
          </w:r>
          <w:r>
            <w:rPr>
              <w:sz w:val="32"/>
              <w:szCs w:val="32"/>
            </w:rPr>
            <w:tab/>
          </w:r>
          <w:r>
            <w:rPr>
              <w:sz w:val="32"/>
              <w:szCs w:val="32"/>
            </w:rPr>
            <w:fldChar w:fldCharType="begin"/>
          </w:r>
          <w:r>
            <w:rPr>
              <w:sz w:val="32"/>
              <w:szCs w:val="32"/>
            </w:rPr>
            <w:instrText xml:space="preserve"> PAGEREF _Toc32324 \h </w:instrText>
          </w:r>
          <w:r>
            <w:rPr>
              <w:sz w:val="32"/>
              <w:szCs w:val="32"/>
            </w:rPr>
            <w:fldChar w:fldCharType="separate"/>
          </w:r>
          <w:r>
            <w:rPr>
              <w:sz w:val="32"/>
              <w:szCs w:val="32"/>
            </w:rPr>
            <w:t>14</w:t>
          </w:r>
          <w:r>
            <w:rPr>
              <w:sz w:val="32"/>
              <w:szCs w:val="32"/>
            </w:rPr>
            <w:fldChar w:fldCharType="end"/>
          </w:r>
          <w:r>
            <w:rPr>
              <w:rFonts w:hint="eastAsia" w:ascii="仿宋" w:eastAsia="仿宋" w:cs="仿宋"/>
              <w:sz w:val="32"/>
              <w:szCs w:val="32"/>
              <w:lang w:val="en-US" w:eastAsia="zh-CN"/>
            </w:rPr>
            <w:fldChar w:fldCharType="end"/>
          </w:r>
        </w:p>
        <w:p>
          <w:pPr>
            <w:pStyle w:val="6"/>
            <w:tabs>
              <w:tab w:val="right" w:leader="dot" w:pos="8306"/>
            </w:tabs>
            <w:rPr>
              <w:sz w:val="32"/>
              <w:szCs w:val="32"/>
            </w:rPr>
          </w:pPr>
          <w:r>
            <w:rPr>
              <w:rFonts w:hint="eastAsia" w:ascii="仿宋" w:eastAsia="仿宋" w:cs="仿宋"/>
              <w:sz w:val="32"/>
              <w:szCs w:val="32"/>
              <w:lang w:val="en-US" w:eastAsia="zh-CN"/>
            </w:rPr>
            <w:fldChar w:fldCharType="begin"/>
          </w:r>
          <w:r>
            <w:rPr>
              <w:rFonts w:hint="eastAsia" w:ascii="仿宋" w:eastAsia="仿宋" w:cs="仿宋"/>
              <w:sz w:val="32"/>
              <w:szCs w:val="32"/>
              <w:lang w:val="en-US" w:eastAsia="zh-CN"/>
            </w:rPr>
            <w:instrText xml:space="preserve"> HYPERLINK \l _Toc28048 </w:instrText>
          </w:r>
          <w:r>
            <w:rPr>
              <w:rFonts w:hint="eastAsia" w:ascii="仿宋" w:eastAsia="仿宋" w:cs="仿宋"/>
              <w:sz w:val="32"/>
              <w:szCs w:val="32"/>
              <w:lang w:val="en-US" w:eastAsia="zh-CN"/>
            </w:rPr>
            <w:fldChar w:fldCharType="separate"/>
          </w:r>
          <w:r>
            <w:rPr>
              <w:sz w:val="32"/>
              <w:szCs w:val="32"/>
              <w:lang w:val="en-US" w:eastAsia="zh-CN"/>
            </w:rPr>
            <w:t xml:space="preserve">5、 </w:t>
          </w:r>
          <w:r>
            <w:rPr>
              <w:rFonts w:hint="eastAsia"/>
              <w:sz w:val="32"/>
              <w:szCs w:val="32"/>
              <w:lang w:val="en-US" w:eastAsia="zh-CN"/>
            </w:rPr>
            <w:t>增值税小规模纳税人免征增值税政策</w:t>
          </w:r>
          <w:r>
            <w:rPr>
              <w:sz w:val="32"/>
              <w:szCs w:val="32"/>
            </w:rPr>
            <w:tab/>
          </w:r>
          <w:r>
            <w:rPr>
              <w:sz w:val="32"/>
              <w:szCs w:val="32"/>
            </w:rPr>
            <w:fldChar w:fldCharType="begin"/>
          </w:r>
          <w:r>
            <w:rPr>
              <w:sz w:val="32"/>
              <w:szCs w:val="32"/>
            </w:rPr>
            <w:instrText xml:space="preserve"> PAGEREF _Toc28048 \h </w:instrText>
          </w:r>
          <w:r>
            <w:rPr>
              <w:sz w:val="32"/>
              <w:szCs w:val="32"/>
            </w:rPr>
            <w:fldChar w:fldCharType="separate"/>
          </w:r>
          <w:r>
            <w:rPr>
              <w:sz w:val="32"/>
              <w:szCs w:val="32"/>
            </w:rPr>
            <w:t>15</w:t>
          </w:r>
          <w:r>
            <w:rPr>
              <w:sz w:val="32"/>
              <w:szCs w:val="32"/>
            </w:rPr>
            <w:fldChar w:fldCharType="end"/>
          </w:r>
          <w:r>
            <w:rPr>
              <w:rFonts w:hint="eastAsia" w:ascii="仿宋" w:eastAsia="仿宋" w:cs="仿宋"/>
              <w:sz w:val="32"/>
              <w:szCs w:val="32"/>
              <w:lang w:val="en-US" w:eastAsia="zh-CN"/>
            </w:rPr>
            <w:fldChar w:fldCharType="end"/>
          </w:r>
        </w:p>
        <w:p>
          <w:pPr>
            <w:pStyle w:val="6"/>
            <w:tabs>
              <w:tab w:val="right" w:leader="dot" w:pos="8306"/>
            </w:tabs>
            <w:rPr>
              <w:sz w:val="32"/>
              <w:szCs w:val="32"/>
            </w:rPr>
          </w:pPr>
          <w:r>
            <w:rPr>
              <w:rFonts w:hint="eastAsia" w:ascii="仿宋" w:eastAsia="仿宋" w:cs="仿宋"/>
              <w:sz w:val="32"/>
              <w:szCs w:val="32"/>
              <w:lang w:val="en-US" w:eastAsia="zh-CN"/>
            </w:rPr>
            <w:fldChar w:fldCharType="begin"/>
          </w:r>
          <w:r>
            <w:rPr>
              <w:rFonts w:hint="eastAsia" w:ascii="仿宋" w:eastAsia="仿宋" w:cs="仿宋"/>
              <w:sz w:val="32"/>
              <w:szCs w:val="32"/>
              <w:lang w:val="en-US" w:eastAsia="zh-CN"/>
            </w:rPr>
            <w:instrText xml:space="preserve"> HYPERLINK \l _Toc19321 </w:instrText>
          </w:r>
          <w:r>
            <w:rPr>
              <w:rFonts w:hint="eastAsia" w:ascii="仿宋" w:eastAsia="仿宋" w:cs="仿宋"/>
              <w:sz w:val="32"/>
              <w:szCs w:val="32"/>
              <w:lang w:val="en-US" w:eastAsia="zh-CN"/>
            </w:rPr>
            <w:fldChar w:fldCharType="separate"/>
          </w:r>
          <w:r>
            <w:rPr>
              <w:sz w:val="32"/>
              <w:szCs w:val="32"/>
              <w:lang w:val="en-US" w:eastAsia="zh-CN"/>
            </w:rPr>
            <w:t xml:space="preserve">6、 </w:t>
          </w:r>
          <w:r>
            <w:rPr>
              <w:rFonts w:hint="eastAsia"/>
              <w:sz w:val="32"/>
              <w:szCs w:val="32"/>
              <w:lang w:val="en-US" w:eastAsia="zh-CN"/>
            </w:rPr>
            <w:t>科技型中小企业研发费用加计扣除政策</w:t>
          </w:r>
          <w:r>
            <w:rPr>
              <w:sz w:val="32"/>
              <w:szCs w:val="32"/>
            </w:rPr>
            <w:tab/>
          </w:r>
          <w:r>
            <w:rPr>
              <w:sz w:val="32"/>
              <w:szCs w:val="32"/>
            </w:rPr>
            <w:fldChar w:fldCharType="begin"/>
          </w:r>
          <w:r>
            <w:rPr>
              <w:sz w:val="32"/>
              <w:szCs w:val="32"/>
            </w:rPr>
            <w:instrText xml:space="preserve"> PAGEREF _Toc19321 \h </w:instrText>
          </w:r>
          <w:r>
            <w:rPr>
              <w:sz w:val="32"/>
              <w:szCs w:val="32"/>
            </w:rPr>
            <w:fldChar w:fldCharType="separate"/>
          </w:r>
          <w:r>
            <w:rPr>
              <w:sz w:val="32"/>
              <w:szCs w:val="32"/>
            </w:rPr>
            <w:t>16</w:t>
          </w:r>
          <w:r>
            <w:rPr>
              <w:sz w:val="32"/>
              <w:szCs w:val="32"/>
            </w:rPr>
            <w:fldChar w:fldCharType="end"/>
          </w:r>
          <w:r>
            <w:rPr>
              <w:rFonts w:hint="eastAsia" w:ascii="仿宋" w:eastAsia="仿宋" w:cs="仿宋"/>
              <w:sz w:val="32"/>
              <w:szCs w:val="32"/>
              <w:lang w:val="en-US" w:eastAsia="zh-CN"/>
            </w:rPr>
            <w:fldChar w:fldCharType="end"/>
          </w:r>
        </w:p>
        <w:p>
          <w:pPr>
            <w:pStyle w:val="6"/>
            <w:tabs>
              <w:tab w:val="right" w:leader="dot" w:pos="8306"/>
            </w:tabs>
            <w:rPr>
              <w:sz w:val="32"/>
              <w:szCs w:val="32"/>
            </w:rPr>
          </w:pPr>
          <w:r>
            <w:rPr>
              <w:rFonts w:hint="eastAsia" w:ascii="仿宋" w:eastAsia="仿宋" w:cs="仿宋"/>
              <w:sz w:val="32"/>
              <w:szCs w:val="32"/>
              <w:lang w:val="en-US" w:eastAsia="zh-CN"/>
            </w:rPr>
            <w:fldChar w:fldCharType="begin"/>
          </w:r>
          <w:r>
            <w:rPr>
              <w:rFonts w:hint="eastAsia" w:ascii="仿宋" w:eastAsia="仿宋" w:cs="仿宋"/>
              <w:sz w:val="32"/>
              <w:szCs w:val="32"/>
              <w:lang w:val="en-US" w:eastAsia="zh-CN"/>
            </w:rPr>
            <w:instrText xml:space="preserve"> HYPERLINK \l _Toc8132 </w:instrText>
          </w:r>
          <w:r>
            <w:rPr>
              <w:rFonts w:hint="eastAsia" w:ascii="仿宋" w:eastAsia="仿宋" w:cs="仿宋"/>
              <w:sz w:val="32"/>
              <w:szCs w:val="32"/>
              <w:lang w:val="en-US" w:eastAsia="zh-CN"/>
            </w:rPr>
            <w:fldChar w:fldCharType="separate"/>
          </w:r>
          <w:r>
            <w:rPr>
              <w:sz w:val="32"/>
              <w:szCs w:val="32"/>
              <w:lang w:val="en-US" w:eastAsia="zh-CN"/>
            </w:rPr>
            <w:t xml:space="preserve">7、 </w:t>
          </w:r>
          <w:r>
            <w:rPr>
              <w:rFonts w:hint="eastAsia"/>
              <w:sz w:val="32"/>
              <w:szCs w:val="32"/>
              <w:lang w:val="en-US" w:eastAsia="zh-CN"/>
            </w:rPr>
            <w:t>快递收派服务收入免征增值税政策</w:t>
          </w:r>
          <w:r>
            <w:rPr>
              <w:sz w:val="32"/>
              <w:szCs w:val="32"/>
            </w:rPr>
            <w:tab/>
          </w:r>
          <w:r>
            <w:rPr>
              <w:sz w:val="32"/>
              <w:szCs w:val="32"/>
            </w:rPr>
            <w:fldChar w:fldCharType="begin"/>
          </w:r>
          <w:r>
            <w:rPr>
              <w:sz w:val="32"/>
              <w:szCs w:val="32"/>
            </w:rPr>
            <w:instrText xml:space="preserve"> PAGEREF _Toc8132 \h </w:instrText>
          </w:r>
          <w:r>
            <w:rPr>
              <w:sz w:val="32"/>
              <w:szCs w:val="32"/>
            </w:rPr>
            <w:fldChar w:fldCharType="separate"/>
          </w:r>
          <w:r>
            <w:rPr>
              <w:sz w:val="32"/>
              <w:szCs w:val="32"/>
            </w:rPr>
            <w:t>17</w:t>
          </w:r>
          <w:r>
            <w:rPr>
              <w:sz w:val="32"/>
              <w:szCs w:val="32"/>
            </w:rPr>
            <w:fldChar w:fldCharType="end"/>
          </w:r>
          <w:r>
            <w:rPr>
              <w:rFonts w:hint="eastAsia" w:ascii="仿宋" w:eastAsia="仿宋" w:cs="仿宋"/>
              <w:sz w:val="32"/>
              <w:szCs w:val="32"/>
              <w:lang w:val="en-US" w:eastAsia="zh-CN"/>
            </w:rPr>
            <w:fldChar w:fldCharType="end"/>
          </w:r>
        </w:p>
        <w:p>
          <w:pPr>
            <w:pStyle w:val="6"/>
            <w:tabs>
              <w:tab w:val="right" w:leader="dot" w:pos="8306"/>
            </w:tabs>
            <w:rPr>
              <w:sz w:val="32"/>
              <w:szCs w:val="32"/>
            </w:rPr>
          </w:pPr>
          <w:r>
            <w:rPr>
              <w:rFonts w:hint="eastAsia" w:ascii="仿宋" w:eastAsia="仿宋" w:cs="仿宋"/>
              <w:sz w:val="32"/>
              <w:szCs w:val="32"/>
              <w:lang w:val="en-US" w:eastAsia="zh-CN"/>
            </w:rPr>
            <w:fldChar w:fldCharType="begin"/>
          </w:r>
          <w:r>
            <w:rPr>
              <w:rFonts w:hint="eastAsia" w:ascii="仿宋" w:eastAsia="仿宋" w:cs="仿宋"/>
              <w:sz w:val="32"/>
              <w:szCs w:val="32"/>
              <w:lang w:val="en-US" w:eastAsia="zh-CN"/>
            </w:rPr>
            <w:instrText xml:space="preserve"> HYPERLINK \l _Toc17535 </w:instrText>
          </w:r>
          <w:r>
            <w:rPr>
              <w:rFonts w:hint="eastAsia" w:ascii="仿宋" w:eastAsia="仿宋" w:cs="仿宋"/>
              <w:sz w:val="32"/>
              <w:szCs w:val="32"/>
              <w:lang w:val="en-US" w:eastAsia="zh-CN"/>
            </w:rPr>
            <w:fldChar w:fldCharType="separate"/>
          </w:r>
          <w:r>
            <w:rPr>
              <w:sz w:val="32"/>
              <w:szCs w:val="32"/>
              <w:lang w:val="en-US" w:eastAsia="zh-CN"/>
            </w:rPr>
            <w:t xml:space="preserve">8、 </w:t>
          </w:r>
          <w:r>
            <w:rPr>
              <w:rFonts w:hint="eastAsia"/>
              <w:sz w:val="32"/>
              <w:szCs w:val="32"/>
              <w:lang w:val="en-US" w:eastAsia="zh-CN"/>
            </w:rPr>
            <w:t>减征部分乘用车车辆购置税政策</w:t>
          </w:r>
          <w:r>
            <w:rPr>
              <w:sz w:val="32"/>
              <w:szCs w:val="32"/>
            </w:rPr>
            <w:tab/>
          </w:r>
          <w:r>
            <w:rPr>
              <w:sz w:val="32"/>
              <w:szCs w:val="32"/>
            </w:rPr>
            <w:fldChar w:fldCharType="begin"/>
          </w:r>
          <w:r>
            <w:rPr>
              <w:sz w:val="32"/>
              <w:szCs w:val="32"/>
            </w:rPr>
            <w:instrText xml:space="preserve"> PAGEREF _Toc17535 \h </w:instrText>
          </w:r>
          <w:r>
            <w:rPr>
              <w:sz w:val="32"/>
              <w:szCs w:val="32"/>
            </w:rPr>
            <w:fldChar w:fldCharType="separate"/>
          </w:r>
          <w:r>
            <w:rPr>
              <w:sz w:val="32"/>
              <w:szCs w:val="32"/>
            </w:rPr>
            <w:t>18</w:t>
          </w:r>
          <w:r>
            <w:rPr>
              <w:sz w:val="32"/>
              <w:szCs w:val="32"/>
            </w:rPr>
            <w:fldChar w:fldCharType="end"/>
          </w:r>
          <w:r>
            <w:rPr>
              <w:rFonts w:hint="eastAsia" w:ascii="仿宋" w:eastAsia="仿宋" w:cs="仿宋"/>
              <w:sz w:val="32"/>
              <w:szCs w:val="32"/>
              <w:lang w:val="en-US" w:eastAsia="zh-CN"/>
            </w:rPr>
            <w:fldChar w:fldCharType="end"/>
          </w:r>
        </w:p>
        <w:p>
          <w:pPr>
            <w:pStyle w:val="6"/>
            <w:tabs>
              <w:tab w:val="right" w:leader="dot" w:pos="8306"/>
            </w:tabs>
            <w:rPr>
              <w:sz w:val="32"/>
              <w:szCs w:val="32"/>
            </w:rPr>
          </w:pPr>
          <w:r>
            <w:rPr>
              <w:rFonts w:hint="eastAsia" w:ascii="仿宋" w:eastAsia="仿宋" w:cs="仿宋"/>
              <w:sz w:val="32"/>
              <w:szCs w:val="32"/>
              <w:lang w:val="en-US" w:eastAsia="zh-CN"/>
            </w:rPr>
            <w:fldChar w:fldCharType="begin"/>
          </w:r>
          <w:r>
            <w:rPr>
              <w:rFonts w:hint="eastAsia" w:ascii="仿宋" w:eastAsia="仿宋" w:cs="仿宋"/>
              <w:sz w:val="32"/>
              <w:szCs w:val="32"/>
              <w:lang w:val="en-US" w:eastAsia="zh-CN"/>
            </w:rPr>
            <w:instrText xml:space="preserve"> HYPERLINK \l _Toc28269 </w:instrText>
          </w:r>
          <w:r>
            <w:rPr>
              <w:rFonts w:hint="eastAsia" w:ascii="仿宋" w:eastAsia="仿宋" w:cs="仿宋"/>
              <w:sz w:val="32"/>
              <w:szCs w:val="32"/>
              <w:lang w:val="en-US" w:eastAsia="zh-CN"/>
            </w:rPr>
            <w:fldChar w:fldCharType="separate"/>
          </w:r>
          <w:r>
            <w:rPr>
              <w:sz w:val="32"/>
              <w:szCs w:val="32"/>
              <w:lang w:val="en-US" w:eastAsia="zh-CN"/>
            </w:rPr>
            <w:t xml:space="preserve">9、 </w:t>
          </w:r>
          <w:r>
            <w:rPr>
              <w:rFonts w:hint="eastAsia"/>
              <w:sz w:val="32"/>
              <w:szCs w:val="32"/>
              <w:lang w:val="en-US" w:eastAsia="zh-CN"/>
            </w:rPr>
            <w:t>小微企业“六税两费”减免政策</w:t>
          </w:r>
          <w:r>
            <w:rPr>
              <w:sz w:val="32"/>
              <w:szCs w:val="32"/>
            </w:rPr>
            <w:tab/>
          </w:r>
          <w:r>
            <w:rPr>
              <w:sz w:val="32"/>
              <w:szCs w:val="32"/>
            </w:rPr>
            <w:fldChar w:fldCharType="begin"/>
          </w:r>
          <w:r>
            <w:rPr>
              <w:sz w:val="32"/>
              <w:szCs w:val="32"/>
            </w:rPr>
            <w:instrText xml:space="preserve"> PAGEREF _Toc28269 \h </w:instrText>
          </w:r>
          <w:r>
            <w:rPr>
              <w:sz w:val="32"/>
              <w:szCs w:val="32"/>
            </w:rPr>
            <w:fldChar w:fldCharType="separate"/>
          </w:r>
          <w:r>
            <w:rPr>
              <w:sz w:val="32"/>
              <w:szCs w:val="32"/>
            </w:rPr>
            <w:t>19</w:t>
          </w:r>
          <w:r>
            <w:rPr>
              <w:sz w:val="32"/>
              <w:szCs w:val="32"/>
            </w:rPr>
            <w:fldChar w:fldCharType="end"/>
          </w:r>
          <w:r>
            <w:rPr>
              <w:rFonts w:hint="eastAsia" w:ascii="仿宋" w:eastAsia="仿宋" w:cs="仿宋"/>
              <w:sz w:val="32"/>
              <w:szCs w:val="32"/>
              <w:lang w:val="en-US" w:eastAsia="zh-CN"/>
            </w:rPr>
            <w:fldChar w:fldCharType="end"/>
          </w:r>
        </w:p>
        <w:p>
          <w:pPr>
            <w:pStyle w:val="6"/>
            <w:tabs>
              <w:tab w:val="right" w:leader="dot" w:pos="8306"/>
            </w:tabs>
            <w:rPr>
              <w:sz w:val="32"/>
              <w:szCs w:val="32"/>
            </w:rPr>
          </w:pPr>
          <w:r>
            <w:rPr>
              <w:rFonts w:hint="eastAsia" w:ascii="仿宋" w:eastAsia="仿宋" w:cs="仿宋"/>
              <w:sz w:val="32"/>
              <w:szCs w:val="32"/>
              <w:lang w:val="en-US" w:eastAsia="zh-CN"/>
            </w:rPr>
            <w:fldChar w:fldCharType="begin"/>
          </w:r>
          <w:r>
            <w:rPr>
              <w:rFonts w:hint="eastAsia" w:ascii="仿宋" w:eastAsia="仿宋" w:cs="仿宋"/>
              <w:sz w:val="32"/>
              <w:szCs w:val="32"/>
              <w:lang w:val="en-US" w:eastAsia="zh-CN"/>
            </w:rPr>
            <w:instrText xml:space="preserve"> HYPERLINK \l _Toc29042 </w:instrText>
          </w:r>
          <w:r>
            <w:rPr>
              <w:rFonts w:hint="eastAsia" w:ascii="仿宋" w:eastAsia="仿宋" w:cs="仿宋"/>
              <w:sz w:val="32"/>
              <w:szCs w:val="32"/>
              <w:lang w:val="en-US" w:eastAsia="zh-CN"/>
            </w:rPr>
            <w:fldChar w:fldCharType="separate"/>
          </w:r>
          <w:r>
            <w:rPr>
              <w:sz w:val="32"/>
              <w:szCs w:val="32"/>
              <w:lang w:val="en-US" w:eastAsia="zh-CN"/>
            </w:rPr>
            <w:t xml:space="preserve">10、 </w:t>
          </w:r>
          <w:r>
            <w:rPr>
              <w:rFonts w:hint="eastAsia"/>
              <w:sz w:val="32"/>
              <w:szCs w:val="32"/>
              <w:lang w:val="en-US" w:eastAsia="zh-CN"/>
            </w:rPr>
            <w:t>小型微利企业减免企业所得税政策</w:t>
          </w:r>
          <w:r>
            <w:rPr>
              <w:sz w:val="32"/>
              <w:szCs w:val="32"/>
            </w:rPr>
            <w:tab/>
          </w:r>
          <w:r>
            <w:rPr>
              <w:sz w:val="32"/>
              <w:szCs w:val="32"/>
            </w:rPr>
            <w:fldChar w:fldCharType="begin"/>
          </w:r>
          <w:r>
            <w:rPr>
              <w:sz w:val="32"/>
              <w:szCs w:val="32"/>
            </w:rPr>
            <w:instrText xml:space="preserve"> PAGEREF _Toc29042 \h </w:instrText>
          </w:r>
          <w:r>
            <w:rPr>
              <w:sz w:val="32"/>
              <w:szCs w:val="32"/>
            </w:rPr>
            <w:fldChar w:fldCharType="separate"/>
          </w:r>
          <w:r>
            <w:rPr>
              <w:sz w:val="32"/>
              <w:szCs w:val="32"/>
            </w:rPr>
            <w:t>20</w:t>
          </w:r>
          <w:r>
            <w:rPr>
              <w:sz w:val="32"/>
              <w:szCs w:val="32"/>
            </w:rPr>
            <w:fldChar w:fldCharType="end"/>
          </w:r>
          <w:r>
            <w:rPr>
              <w:rFonts w:hint="eastAsia" w:ascii="仿宋" w:eastAsia="仿宋" w:cs="仿宋"/>
              <w:sz w:val="32"/>
              <w:szCs w:val="32"/>
              <w:lang w:val="en-US" w:eastAsia="zh-CN"/>
            </w:rPr>
            <w:fldChar w:fldCharType="end"/>
          </w:r>
        </w:p>
        <w:p>
          <w:pPr>
            <w:pStyle w:val="6"/>
            <w:tabs>
              <w:tab w:val="right" w:leader="dot" w:pos="8306"/>
            </w:tabs>
            <w:rPr>
              <w:sz w:val="32"/>
              <w:szCs w:val="32"/>
            </w:rPr>
          </w:pPr>
          <w:r>
            <w:rPr>
              <w:rFonts w:hint="eastAsia" w:ascii="仿宋" w:eastAsia="仿宋" w:cs="仿宋"/>
              <w:sz w:val="32"/>
              <w:szCs w:val="32"/>
              <w:lang w:val="en-US" w:eastAsia="zh-CN"/>
            </w:rPr>
            <w:fldChar w:fldCharType="begin"/>
          </w:r>
          <w:r>
            <w:rPr>
              <w:rFonts w:hint="eastAsia" w:ascii="仿宋" w:eastAsia="仿宋" w:cs="仿宋"/>
              <w:sz w:val="32"/>
              <w:szCs w:val="32"/>
              <w:lang w:val="en-US" w:eastAsia="zh-CN"/>
            </w:rPr>
            <w:instrText xml:space="preserve"> HYPERLINK \l _Toc19048 </w:instrText>
          </w:r>
          <w:r>
            <w:rPr>
              <w:rFonts w:hint="eastAsia" w:ascii="仿宋" w:eastAsia="仿宋" w:cs="仿宋"/>
              <w:sz w:val="32"/>
              <w:szCs w:val="32"/>
              <w:lang w:val="en-US" w:eastAsia="zh-CN"/>
            </w:rPr>
            <w:fldChar w:fldCharType="separate"/>
          </w:r>
          <w:r>
            <w:rPr>
              <w:sz w:val="32"/>
              <w:szCs w:val="32"/>
              <w:lang w:val="en-US" w:eastAsia="zh-CN"/>
            </w:rPr>
            <w:t xml:space="preserve">11、 </w:t>
          </w:r>
          <w:r>
            <w:rPr>
              <w:rFonts w:hint="eastAsia"/>
              <w:sz w:val="32"/>
              <w:szCs w:val="32"/>
              <w:lang w:val="en-US" w:eastAsia="zh-CN"/>
            </w:rPr>
            <w:t>制造业中小微企业延缓缴纳部分税费政策</w:t>
          </w:r>
          <w:r>
            <w:rPr>
              <w:sz w:val="32"/>
              <w:szCs w:val="32"/>
            </w:rPr>
            <w:tab/>
          </w:r>
          <w:r>
            <w:rPr>
              <w:sz w:val="32"/>
              <w:szCs w:val="32"/>
            </w:rPr>
            <w:fldChar w:fldCharType="begin"/>
          </w:r>
          <w:r>
            <w:rPr>
              <w:sz w:val="32"/>
              <w:szCs w:val="32"/>
            </w:rPr>
            <w:instrText xml:space="preserve"> PAGEREF _Toc19048 \h </w:instrText>
          </w:r>
          <w:r>
            <w:rPr>
              <w:sz w:val="32"/>
              <w:szCs w:val="32"/>
            </w:rPr>
            <w:fldChar w:fldCharType="separate"/>
          </w:r>
          <w:r>
            <w:rPr>
              <w:sz w:val="32"/>
              <w:szCs w:val="32"/>
            </w:rPr>
            <w:t>21</w:t>
          </w:r>
          <w:r>
            <w:rPr>
              <w:sz w:val="32"/>
              <w:szCs w:val="32"/>
            </w:rPr>
            <w:fldChar w:fldCharType="end"/>
          </w:r>
          <w:r>
            <w:rPr>
              <w:rFonts w:hint="eastAsia" w:ascii="仿宋" w:eastAsia="仿宋" w:cs="仿宋"/>
              <w:sz w:val="32"/>
              <w:szCs w:val="32"/>
              <w:lang w:val="en-US" w:eastAsia="zh-CN"/>
            </w:rPr>
            <w:fldChar w:fldCharType="end"/>
          </w:r>
        </w:p>
        <w:p>
          <w:pPr>
            <w:pStyle w:val="6"/>
            <w:tabs>
              <w:tab w:val="right" w:leader="dot" w:pos="8306"/>
            </w:tabs>
            <w:rPr>
              <w:sz w:val="32"/>
              <w:szCs w:val="32"/>
            </w:rPr>
          </w:pPr>
          <w:r>
            <w:rPr>
              <w:rFonts w:hint="eastAsia" w:ascii="仿宋" w:eastAsia="仿宋" w:cs="仿宋"/>
              <w:sz w:val="32"/>
              <w:szCs w:val="32"/>
              <w:lang w:val="en-US" w:eastAsia="zh-CN"/>
            </w:rPr>
            <w:fldChar w:fldCharType="begin"/>
          </w:r>
          <w:r>
            <w:rPr>
              <w:rFonts w:hint="eastAsia" w:ascii="仿宋" w:eastAsia="仿宋" w:cs="仿宋"/>
              <w:sz w:val="32"/>
              <w:szCs w:val="32"/>
              <w:lang w:val="en-US" w:eastAsia="zh-CN"/>
            </w:rPr>
            <w:instrText xml:space="preserve"> HYPERLINK \l _Toc11303 </w:instrText>
          </w:r>
          <w:r>
            <w:rPr>
              <w:rFonts w:hint="eastAsia" w:ascii="仿宋" w:eastAsia="仿宋" w:cs="仿宋"/>
              <w:sz w:val="32"/>
              <w:szCs w:val="32"/>
              <w:lang w:val="en-US" w:eastAsia="zh-CN"/>
            </w:rPr>
            <w:fldChar w:fldCharType="separate"/>
          </w:r>
          <w:r>
            <w:rPr>
              <w:sz w:val="32"/>
              <w:szCs w:val="32"/>
              <w:lang w:val="en-US" w:eastAsia="zh-CN"/>
            </w:rPr>
            <w:t xml:space="preserve">12、 </w:t>
          </w:r>
          <w:r>
            <w:rPr>
              <w:rFonts w:hint="eastAsia"/>
              <w:sz w:val="32"/>
              <w:szCs w:val="32"/>
              <w:lang w:val="en-US" w:eastAsia="zh-CN"/>
            </w:rPr>
            <w:t>阶段性缓缴企业社会保险费政策</w:t>
          </w:r>
          <w:r>
            <w:rPr>
              <w:sz w:val="32"/>
              <w:szCs w:val="32"/>
            </w:rPr>
            <w:tab/>
          </w:r>
          <w:r>
            <w:rPr>
              <w:sz w:val="32"/>
              <w:szCs w:val="32"/>
            </w:rPr>
            <w:fldChar w:fldCharType="begin"/>
          </w:r>
          <w:r>
            <w:rPr>
              <w:sz w:val="32"/>
              <w:szCs w:val="32"/>
            </w:rPr>
            <w:instrText xml:space="preserve"> PAGEREF _Toc11303 \h </w:instrText>
          </w:r>
          <w:r>
            <w:rPr>
              <w:sz w:val="32"/>
              <w:szCs w:val="32"/>
            </w:rPr>
            <w:fldChar w:fldCharType="separate"/>
          </w:r>
          <w:r>
            <w:rPr>
              <w:sz w:val="32"/>
              <w:szCs w:val="32"/>
            </w:rPr>
            <w:t>24</w:t>
          </w:r>
          <w:r>
            <w:rPr>
              <w:sz w:val="32"/>
              <w:szCs w:val="32"/>
            </w:rPr>
            <w:fldChar w:fldCharType="end"/>
          </w:r>
          <w:r>
            <w:rPr>
              <w:rFonts w:hint="eastAsia" w:ascii="仿宋" w:eastAsia="仿宋" w:cs="仿宋"/>
              <w:sz w:val="32"/>
              <w:szCs w:val="32"/>
              <w:lang w:val="en-US" w:eastAsia="zh-CN"/>
            </w:rPr>
            <w:fldChar w:fldCharType="end"/>
          </w:r>
        </w:p>
        <w:p>
          <w:pPr>
            <w:pStyle w:val="2"/>
            <w:bidi w:val="0"/>
            <w:outlineLvl w:val="9"/>
            <w:rPr>
              <w:rFonts w:hint="eastAsia" w:ascii="仿宋" w:eastAsia="仿宋" w:cs="仿宋"/>
              <w:sz w:val="30"/>
              <w:szCs w:val="30"/>
              <w:lang w:val="en-US" w:eastAsia="zh-CN"/>
            </w:rPr>
          </w:pPr>
          <w:r>
            <w:rPr>
              <w:rFonts w:hint="eastAsia" w:ascii="仿宋" w:eastAsia="仿宋" w:cs="仿宋"/>
              <w:sz w:val="32"/>
              <w:szCs w:val="32"/>
              <w:lang w:val="en-US" w:eastAsia="zh-CN"/>
            </w:rPr>
            <w:fldChar w:fldCharType="end"/>
          </w:r>
        </w:p>
      </w:sdtContent>
    </w:sdt>
    <w:p>
      <w:pPr>
        <w:pStyle w:val="2"/>
        <w:bidi w:val="0"/>
        <w:outlineLvl w:val="9"/>
        <w:rPr>
          <w:rFonts w:hint="eastAsia"/>
          <w:lang w:val="en-US" w:eastAsia="zh-CN"/>
        </w:rPr>
      </w:pPr>
    </w:p>
    <w:p>
      <w:pPr>
        <w:pStyle w:val="2"/>
        <w:bidi w:val="0"/>
        <w:outlineLvl w:val="9"/>
        <w:rPr>
          <w:rFonts w:hint="eastAsia"/>
          <w:lang w:val="en-US" w:eastAsia="zh-CN"/>
        </w:rPr>
      </w:pPr>
    </w:p>
    <w:p>
      <w:pPr>
        <w:pStyle w:val="2"/>
        <w:bidi w:val="0"/>
        <w:outlineLvl w:val="9"/>
        <w:rPr>
          <w:rFonts w:hint="eastAsia"/>
          <w:lang w:val="en-US" w:eastAsia="zh-CN"/>
        </w:rPr>
      </w:pPr>
    </w:p>
    <w:p>
      <w:pPr>
        <w:pStyle w:val="2"/>
        <w:bidi w:val="0"/>
        <w:outlineLvl w:val="9"/>
        <w:rPr>
          <w:rFonts w:hint="eastAsia"/>
          <w:lang w:val="en-US" w:eastAsia="zh-CN"/>
        </w:rPr>
      </w:pPr>
    </w:p>
    <w:p>
      <w:pPr>
        <w:pStyle w:val="2"/>
        <w:bidi w:val="0"/>
        <w:outlineLvl w:val="9"/>
        <w:rPr>
          <w:rFonts w:hint="eastAsia"/>
          <w:lang w:val="en-US" w:eastAsia="zh-CN"/>
        </w:rPr>
      </w:pPr>
    </w:p>
    <w:p>
      <w:pPr>
        <w:pStyle w:val="2"/>
        <w:bidi w:val="0"/>
        <w:outlineLvl w:val="9"/>
        <w:rPr>
          <w:rFonts w:hint="eastAsia"/>
          <w:lang w:val="en-US" w:eastAsia="zh-CN"/>
        </w:rPr>
      </w:pPr>
    </w:p>
    <w:p>
      <w:pPr>
        <w:pStyle w:val="2"/>
        <w:bidi w:val="0"/>
        <w:rPr>
          <w:rFonts w:hint="eastAsia"/>
          <w:sz w:val="32"/>
          <w:szCs w:val="32"/>
          <w:lang w:val="en-US" w:eastAsia="zh-CN"/>
        </w:rPr>
      </w:pPr>
    </w:p>
    <w:p>
      <w:pPr>
        <w:pStyle w:val="2"/>
        <w:bidi w:val="0"/>
        <w:rPr>
          <w:rFonts w:hint="eastAsia"/>
          <w:sz w:val="32"/>
          <w:szCs w:val="32"/>
          <w:lang w:val="en-US" w:eastAsia="zh-CN"/>
        </w:rPr>
      </w:pPr>
    </w:p>
    <w:p>
      <w:pPr>
        <w:pStyle w:val="2"/>
        <w:bidi w:val="0"/>
        <w:rPr>
          <w:rFonts w:hint="eastAsia"/>
          <w:sz w:val="32"/>
          <w:szCs w:val="32"/>
          <w:lang w:val="en-US" w:eastAsia="zh-CN"/>
        </w:rPr>
      </w:pPr>
    </w:p>
    <w:p>
      <w:pPr>
        <w:pStyle w:val="2"/>
        <w:bidi w:val="0"/>
        <w:rPr>
          <w:rFonts w:hint="eastAsia"/>
          <w:sz w:val="32"/>
          <w:szCs w:val="32"/>
          <w:lang w:val="en-US" w:eastAsia="zh-CN"/>
        </w:rPr>
      </w:pPr>
    </w:p>
    <w:p>
      <w:pPr>
        <w:pStyle w:val="2"/>
        <w:bidi w:val="0"/>
        <w:rPr>
          <w:rFonts w:hint="eastAsia"/>
          <w:sz w:val="32"/>
          <w:szCs w:val="32"/>
          <w:lang w:val="en-US" w:eastAsia="zh-CN"/>
        </w:rPr>
      </w:pPr>
      <w:bookmarkStart w:id="0" w:name="_Toc23805"/>
      <w:r>
        <w:rPr>
          <w:rFonts w:hint="eastAsia"/>
          <w:sz w:val="32"/>
          <w:szCs w:val="32"/>
          <w:lang w:val="en-US" w:eastAsia="zh-CN"/>
        </w:rPr>
        <w:t>新出台的税费支持政策</w:t>
      </w:r>
      <w:bookmarkEnd w:id="0"/>
    </w:p>
    <w:p>
      <w:pPr>
        <w:pStyle w:val="3"/>
        <w:bidi w:val="0"/>
        <w:outlineLvl w:val="0"/>
        <w:rPr>
          <w:rFonts w:hint="eastAsia"/>
          <w:lang w:val="en-US" w:eastAsia="zh-CN"/>
        </w:rPr>
      </w:pPr>
      <w:bookmarkStart w:id="1" w:name="_Toc18806"/>
      <w:r>
        <w:rPr>
          <w:rFonts w:hint="eastAsia"/>
          <w:lang w:val="en-US" w:eastAsia="zh-CN"/>
        </w:rPr>
        <w:t>1、2022年增值税期末留抵政策</w:t>
      </w:r>
      <w:bookmarkEnd w:id="1"/>
    </w:p>
    <w:p>
      <w:pPr>
        <w:bidi w:val="0"/>
        <w:jc w:val="center"/>
        <w:rPr>
          <w:rFonts w:hint="eastAsia" w:ascii="黑体" w:eastAsia="黑体" w:cs="黑体"/>
          <w:sz w:val="32"/>
          <w:szCs w:val="32"/>
        </w:rPr>
      </w:pPr>
      <w:r>
        <w:rPr>
          <w:rFonts w:hint="eastAsia" w:ascii="黑体" w:eastAsia="黑体" w:cs="黑体"/>
          <w:sz w:val="32"/>
          <w:szCs w:val="32"/>
        </w:rPr>
        <w:t>财政部 税务总局关于进一步加大增值税期末留抵退税政策实施力度的公告</w:t>
      </w:r>
    </w:p>
    <w:p>
      <w:pPr>
        <w:bidi w:val="0"/>
        <w:jc w:val="center"/>
        <w:rPr>
          <w:rFonts w:hint="eastAsia" w:ascii="黑体" w:eastAsia="黑体" w:cs="黑体"/>
          <w:sz w:val="32"/>
          <w:szCs w:val="32"/>
        </w:rPr>
      </w:pPr>
      <w:r>
        <w:rPr>
          <w:rFonts w:hint="eastAsia" w:ascii="黑体" w:eastAsia="黑体" w:cs="黑体"/>
          <w:sz w:val="32"/>
          <w:szCs w:val="32"/>
          <w:lang w:val="en-US" w:eastAsia="zh-CN"/>
        </w:rPr>
        <w:t>财政部 税务总局公告2022年第14号</w:t>
      </w:r>
    </w:p>
    <w:p>
      <w:pPr>
        <w:rPr>
          <w:rFonts w:hint="eastAsia"/>
          <w:lang w:val="en-US" w:eastAsia="zh-CN"/>
        </w:rPr>
      </w:pPr>
    </w:p>
    <w:p>
      <w:pPr>
        <w:pStyle w:val="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color w:val="333333"/>
          <w:sz w:val="24"/>
          <w:szCs w:val="24"/>
          <w:shd w:val="clear" w:color="auto" w:fill="FFFFFF"/>
        </w:rPr>
        <w:t>为支持小微企业和制造业等行业发展，提振市场主体信心、激发市场主体活力，现将进一步加大增值税期末留抵退税实施力度有关政策公告如下：</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一、加大小微企业增值税期末留抵退税政策力度，将先进制造业按月全额退还增值税增量留抵税额政策范围扩大至符合条件的小微企业（含个体工商户，下同），并一次性退还小微企业存量留抵税额。</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（一）符合条件的小微企业，可以自2022年4月纳税申报期起向主管税务机关申请退还增量留抵税额。在2022年12月31日前，退税条件按照本公告第三条规定执行。</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（二）符合条件的微型企业，可以自2022年4月纳税申报期起向主管税务机关申请一次性退还存量留抵税额；符合条件的小型企业，可以自2022年5月纳税申报期起向主管税务机关申请一次性退还存量留抵税额。</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二、加大“制造业”、“科学研究和技术服务业”、“电力、热力、燃气及水生产和供应业”、“软件和信息技术服务业”、“生态保护和环境治理业”和“交通运输、仓储和邮政业”（以下称制造业等行业）增值税期末留抵退税政策力度，将先进制造业按月全额退还增值税增量留抵税额政策范围扩大至符合条件的制造业等行业企业（含个体工商户，下同），并一次性退还制造业等行业企业存量留抵税额。</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（一）符合条件的制造业等行业企业，可以自2022年4月纳税申报期起向主管税务机关申请退还增量留抵税额。</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二）符合条件的制造业等行业中型企业，可以自2022年7月纳税申报期起向主管税务机关申请一次性退还存量留抵税额；符合条件的制造业等行业大型企业，可以自2022年10月纳税申报期起向主管税务机关申请一次性退还存量留抵税额。</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三、适用本公告政策的纳税人需同时符合以下条件：</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（一）纳税信用等级为A级或者B级；</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（二）申请退税前36个月未发生骗取留抵退税、骗取出口退税或虚开增值税专用发票情形；</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（三）申请退税前36个月未因偷税被税务机关处罚两次及以上；</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（四）2019年4月1日起未享受即征即退、先征后返（退）政策。</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四、本公告所称增量留抵税额，区分以下情形确定：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（一）纳税人获得一次性存量留抵退税前，增量留抵税额为当期期末留抵税额与2019年3月31日相比新增加的留抵税额。</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（二）纳税人获得一次性存量留抵退税后，增量留抵税额为当期期末留抵税额。</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五、本公告所称存量留抵税额，区分以下情形确定：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一）纳税人获得一次性存量留抵退税前，当期期末留抵税额大于或等于2019年3月31日期末留抵税额的，存量留抵税额为2019年3月31日期末留抵税额；当期期末留抵税额小于2019年3月31日期末留抵税额的，存量留抵税额为当期期末留抵税额。</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（二）纳税人获得一次性存量留抵退税后，存量留抵税额为零。</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六、本公告所称中型企业、小型企业和微型企业，按照《中小企业划型标准规定》（工信部联企业〔2011〕300号）和《金融业企业划型标准规定》（银发〔2015〕309号）中的营业收入指标、资产总额指标确定。其中，资产总额指标按照纳税人上一会计年度年末值确定。营业收入指标按照纳税人上一会计年度增值税销售额确定；不满一个会计年度的，按照以下公式计算：</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增值税销售额（年）=上一会计年度企业实际存续期间增值税销售额/企业实际存续月数×12</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本公告所称增值税销售额，包括纳税申报销售额、稽查查补销售额、纳税评估调整销售额。适用增值税差额征税政策的，以差额后的销售额确定。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对于工信部联企业〔2011〕300号和银发〔2015〕309号文件所列行业以外的纳税人，以及工信部联企业〔2011〕300号文件所列行业但未采用营业收入指标或资产总额指标划型确定的纳税人，微型企业标准为增值税销售额（年）100万元以下（不含100万元）；小型企业标准为增值税销售额（年）2000万元以下（不含2000万元）；中型企业标准为增值税销售额（年）1亿元以下（不含1亿元）。</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本公告所称大型企业，是指除上述中型企业、小型企业和微型企业外的其他企业。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七、本公告所称制造业等行业企业，是指从事《国民经济行业分类》中“制造业”、“科学研究和技术服务业”、“电力、热力、燃气及水生产和供应业”、“软件和信息技术服务业”、“生态保护和环境治理业”和“交通运输、仓储和邮政业”业务相应发生的增值税销售额占全部增值税销售额的比重超过50%的纳税人。</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上述销售额比重根据纳税人申请退税前连续12个月的销售额计算确定；申请退税前经营期不满12个月但满3个月的，按照实际经营期的销售额计算确定。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八、适用本公告政策的纳税人，按照以下公式计算允许退还的留抵税额：</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允许退还的增量留抵税额=增量留抵税额×进项构成比例×100%</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允许退还的存量留抵税额=存量留抵税额×进项构成比例×100%</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九、纳税人出口货物劳务、发生跨境应税行为，适用免抵退税办法的，应先办理免抵退税。免抵退税办理完毕后，仍符合本公告规定条件的，可以申请退还留抵税额；适用免退税办法的，相关进项税额不得用于退还留抵税额。</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十、纳税人自2019年4月1日起已取得留抵退税款的，不得再申请享受增值税即征即退、先征后返（退）政策。纳税人可以在2022年10月31日前一次性将已取得的留抵退税款全部缴回后，按规定申请享受增值税即征即退、先征后返（退）政策。</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纳税人自2019年4月1日起已享受增值税即征即退、先征后返（退）政策的，可以在2022年10月31日前一次性将已退还的增值税即征即退、先征后返（退）税款全部缴回后，按规定申请退还留抵税额。</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十一、纳税人可以选择向主管税务机关申请留抵退税，也可以选择结转下期继续抵扣。纳税人应在纳税申报期内，完成当期增值税纳税申报后申请留抵退税。2022年4月至6月的留抵退税申请时间，延长至每月最后一个工作日。</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纳税人可以在规定期限内同时申请增量留抵退税和存量留抵退税。同时符合本公告第一条和第二条相关留抵退税政策的纳税人，可任意选择申请适用上述留抵退税政策。</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十二、纳税人取得退还的留抵税额后，应相应调减当期留抵税额。</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如果发现纳税人存在留抵退税政策适用有误的情形，纳税人应在下个纳税申报期结束前缴回相关留抵退税款。</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以虚增进项、虚假申报或其他欺骗手段，骗取留抵退税款的，由税务机关追缴其骗取的退税款，并按照《中华人民共和国税收征收管理法》等有关规定处理。</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十三、适用本公告规定留抵退税政策的纳税人办理留抵退税的税收管理事项，继续按照现行规定执行。</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十四、除上述纳税人以外的其他纳税人申请退还增量留抵税额的规定，继续按照《财政部 税务总局 海关总署关于深化增值税改革有关政策的公告》（财政部 税务总局 海关总署公告2019年第39号）执行，其中，第八条第三款关于“进项构成比例”的相关规定，按照本公告第八条规定执行。</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十五、各级财政和税务部门务必高度重视留抵退税工作，摸清底数、周密筹划、加强宣传、密切协作、统筹推进，并分别于2022年4月30日、6月30日、9月30日、12月31日前，在纳税人自愿申请的基础上，集中退还微型、小型、中型、大型企业存量留抵税额。税务部门结合纳税人留抵退税申请情况，规范高效便捷地为纳税人办理留抵退税。</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十六、本公告自2022年4月1日施行。《财政部 税务总局关于明确部分先进制造业增值税期末留抵退税政策的公告》（财政部 税务总局公告2019年第84号）、《财政部 税务总局关于明确国有农用地出租等增值税政策的公告》（财政部 税务总局公告2020年第2号）第六条、《财政部 税务总局关于明确先进制造业增值税期末留抵退税政策的公告》（财政部 税务总局公告2021年第15号）同时废止。</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特此公告。</w:t>
      </w:r>
    </w:p>
    <w:p>
      <w:pPr>
        <w:pStyle w:val="7"/>
        <w:keepNext w:val="0"/>
        <w:keepLines w:val="0"/>
        <w:widowControl/>
        <w:suppressLineNumbers w:val="0"/>
        <w:spacing w:before="0" w:beforeAutospacing="0" w:after="0" w:afterAutospacing="0" w:line="23" w:lineRule="atLeast"/>
        <w:ind w:left="0" w:right="0" w:firstLine="420"/>
        <w:jc w:val="both"/>
      </w:pPr>
    </w:p>
    <w:p>
      <w:pPr>
        <w:pStyle w:val="7"/>
        <w:keepNext w:val="0"/>
        <w:keepLines w:val="0"/>
        <w:widowControl/>
        <w:suppressLineNumbers w:val="0"/>
        <w:spacing w:before="0" w:beforeAutospacing="0" w:after="0" w:afterAutospacing="0" w:line="23" w:lineRule="atLeast"/>
        <w:ind w:left="0" w:right="0" w:firstLine="420"/>
        <w:jc w:val="right"/>
      </w:pPr>
      <w:r>
        <w:rPr>
          <w:rFonts w:hint="eastAsia" w:ascii="微软雅黑" w:eastAsia="微软雅黑" w:cs="微软雅黑"/>
          <w:color w:val="333333"/>
          <w:sz w:val="24"/>
          <w:szCs w:val="24"/>
          <w:shd w:val="clear" w:color="auto" w:fill="FFFFFF"/>
        </w:rPr>
        <w:t>财政部 税务总局</w:t>
      </w:r>
    </w:p>
    <w:p>
      <w:pPr>
        <w:pStyle w:val="7"/>
        <w:keepNext w:val="0"/>
        <w:keepLines w:val="0"/>
        <w:widowControl/>
        <w:suppressLineNumbers w:val="0"/>
        <w:spacing w:before="0" w:beforeAutospacing="0" w:after="0" w:afterAutospacing="0" w:line="23" w:lineRule="atLeast"/>
        <w:ind w:left="0" w:right="0" w:firstLine="420"/>
        <w:jc w:val="right"/>
        <w:rPr>
          <w:rFonts w:hint="eastAsia" w:ascii="微软雅黑" w:eastAsia="微软雅黑" w:cs="微软雅黑"/>
          <w:color w:val="333333"/>
          <w:sz w:val="24"/>
          <w:szCs w:val="24"/>
          <w:shd w:val="clear" w:color="auto" w:fill="FFFFFF"/>
        </w:rPr>
      </w:pPr>
      <w:r>
        <w:rPr>
          <w:rFonts w:hint="eastAsia" w:ascii="微软雅黑" w:eastAsia="微软雅黑" w:cs="微软雅黑"/>
          <w:color w:val="333333"/>
          <w:sz w:val="24"/>
          <w:szCs w:val="24"/>
          <w:shd w:val="clear" w:color="auto" w:fill="FFFFFF"/>
        </w:rPr>
        <w:t>2022年3月21日</w:t>
      </w:r>
    </w:p>
    <w:p>
      <w:pPr>
        <w:pStyle w:val="7"/>
        <w:keepNext w:val="0"/>
        <w:keepLines w:val="0"/>
        <w:widowControl/>
        <w:suppressLineNumbers w:val="0"/>
        <w:spacing w:before="0" w:beforeAutospacing="0" w:after="0" w:afterAutospacing="0" w:line="23" w:lineRule="atLeast"/>
        <w:ind w:left="0" w:right="0" w:firstLine="420"/>
        <w:jc w:val="right"/>
        <w:rPr>
          <w:rFonts w:hint="eastAsia" w:ascii="微软雅黑" w:eastAsia="微软雅黑" w:cs="微软雅黑"/>
          <w:color w:val="333333"/>
          <w:sz w:val="24"/>
          <w:szCs w:val="24"/>
          <w:shd w:val="clear" w:color="auto" w:fill="FFFFFF"/>
        </w:rPr>
      </w:pPr>
    </w:p>
    <w:p>
      <w:pPr>
        <w:bidi w:val="0"/>
        <w:jc w:val="center"/>
        <w:rPr>
          <w:rFonts w:hint="eastAsia" w:ascii="黑体" w:eastAsia="黑体" w:cs="黑体"/>
          <w:sz w:val="32"/>
          <w:szCs w:val="32"/>
        </w:rPr>
      </w:pPr>
    </w:p>
    <w:p>
      <w:pPr>
        <w:bidi w:val="0"/>
        <w:jc w:val="center"/>
        <w:rPr>
          <w:rFonts w:hint="eastAsia" w:ascii="黑体" w:eastAsia="黑体" w:cs="黑体"/>
          <w:sz w:val="32"/>
          <w:szCs w:val="32"/>
        </w:rPr>
      </w:pPr>
      <w:r>
        <w:rPr>
          <w:rFonts w:hint="eastAsia" w:ascii="黑体" w:eastAsia="黑体" w:cs="黑体"/>
          <w:sz w:val="32"/>
          <w:szCs w:val="32"/>
        </w:rPr>
        <w:t>财政部 税务总局关于进一步加快增值税期末留抵退税政策实施进度的公告</w:t>
      </w:r>
    </w:p>
    <w:p>
      <w:pPr>
        <w:bidi w:val="0"/>
        <w:jc w:val="center"/>
        <w:rPr>
          <w:rFonts w:hint="eastAsia" w:ascii="黑体" w:eastAsia="黑体" w:cs="黑体"/>
          <w:sz w:val="32"/>
          <w:szCs w:val="32"/>
        </w:rPr>
      </w:pPr>
      <w:r>
        <w:rPr>
          <w:rFonts w:hint="eastAsia" w:ascii="黑体" w:eastAsia="黑体" w:cs="黑体"/>
          <w:sz w:val="32"/>
          <w:szCs w:val="32"/>
          <w:lang w:val="en-US" w:eastAsia="zh-CN"/>
        </w:rPr>
        <w:t>财政部 税务总局公告2022年第17号</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为尽快释放大规模增值税留抵退税政策红利，在帮扶市场主体渡难关上产生更大政策效应，现将进一步加快增值税期末留抵退税政策实施进度有关政策公告如下：</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一、加快小微企业留抵退税政策实施进度，按照《财政部 税务总局关于进一步加大增值税期末留抵退税政策实施力度的公告》（财政部 税务总局公告2022年第14号，以下称2022年第14号公告）规定，抓紧办理小微企业留抵退税，在纳税人自愿申请的基础上，加快退税进度，积极落实微型企业、小型企业存量留抵税额分别于2022年4月30日前、6月30日前集中退还的退税政策。</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二、提前退还中型企业存量留抵税额，将2022年第14号公告第二条第二项规定的“符合条件的制造业等行业中型企业，可以自2022年7月纳税申报期起向主管税务机关申请一次性退还存量留抵税额”调整为“符合条件的制造业等行业中型企业，可以自2022年5月纳税申报期起向主管税务机关申请一次性退还存量留抵税额”。2022年6月30日前，在纳税人自愿申请的基础上，集中退还中型企业存量留抵税额。</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三、各级财政和税务部门要进一步增强工作责任感和紧迫感，高度重视留抵退税工作，建立健全工作机制，密切配合，上下协同，加强政策宣传辅导，优化退税服务，提高审核效率，加快留抵退税办理进度，强化资金保障，对符合条件、低风险的纳税人，要最大程度优化留抵退税办理流程，简化退税审核程序，高效便捷地为纳税人办理留抵退税，同时，严密防范退税风险，严厉打击骗税行为，确保留抵退税措施不折不扣落到实处、见到实效。</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特此公告。</w:t>
      </w:r>
    </w:p>
    <w:p>
      <w:pPr>
        <w:pStyle w:val="7"/>
        <w:keepNext w:val="0"/>
        <w:keepLines w:val="0"/>
        <w:widowControl/>
        <w:suppressLineNumbers w:val="0"/>
        <w:spacing w:before="0" w:beforeAutospacing="0" w:after="0" w:afterAutospacing="0" w:line="23" w:lineRule="atLeast"/>
        <w:ind w:left="0" w:right="0" w:firstLine="420"/>
        <w:jc w:val="right"/>
      </w:pPr>
      <w:r>
        <w:rPr>
          <w:rFonts w:hint="eastAsia" w:ascii="微软雅黑" w:eastAsia="微软雅黑" w:cs="微软雅黑"/>
          <w:color w:val="333333"/>
          <w:sz w:val="24"/>
          <w:szCs w:val="24"/>
          <w:shd w:val="clear" w:color="auto" w:fill="FFFFFF"/>
        </w:rPr>
        <w:t>财政部 税务总局</w:t>
      </w:r>
    </w:p>
    <w:p>
      <w:pPr>
        <w:pStyle w:val="7"/>
        <w:keepNext w:val="0"/>
        <w:keepLines w:val="0"/>
        <w:widowControl/>
        <w:suppressLineNumbers w:val="0"/>
        <w:spacing w:before="0" w:beforeAutospacing="0" w:after="0" w:afterAutospacing="0" w:line="23" w:lineRule="atLeast"/>
        <w:ind w:left="0" w:right="0" w:firstLine="420"/>
        <w:jc w:val="right"/>
      </w:pPr>
      <w:r>
        <w:rPr>
          <w:rFonts w:hint="eastAsia" w:ascii="微软雅黑" w:eastAsia="微软雅黑" w:cs="微软雅黑"/>
          <w:color w:val="333333"/>
          <w:sz w:val="24"/>
          <w:szCs w:val="24"/>
          <w:shd w:val="clear" w:color="auto" w:fill="FFFFFF"/>
        </w:rPr>
        <w:t>2022年4月17日</w:t>
      </w:r>
    </w:p>
    <w:p>
      <w:pPr>
        <w:rPr>
          <w:rFonts w:hint="eastAsia"/>
          <w:lang w:val="en-US" w:eastAsia="zh-CN"/>
        </w:rPr>
      </w:pPr>
    </w:p>
    <w:p>
      <w:pPr>
        <w:rPr>
          <w:rFonts w:hint="eastAsia"/>
          <w:lang w:val="en-US" w:eastAsia="zh-CN"/>
        </w:rPr>
      </w:pPr>
    </w:p>
    <w:p>
      <w:pPr>
        <w:bidi w:val="0"/>
        <w:jc w:val="center"/>
        <w:rPr>
          <w:rFonts w:hint="eastAsia" w:ascii="黑体" w:eastAsia="黑体" w:cs="黑体"/>
          <w:sz w:val="32"/>
          <w:szCs w:val="32"/>
        </w:rPr>
      </w:pPr>
      <w:r>
        <w:rPr>
          <w:rFonts w:hint="eastAsia" w:ascii="黑体" w:eastAsia="黑体" w:cs="黑体"/>
          <w:sz w:val="32"/>
          <w:szCs w:val="32"/>
        </w:rPr>
        <w:t>财政部 税务总局关于进一步持续加快增值税期末留抵退税政策实施进度的公告</w:t>
      </w:r>
    </w:p>
    <w:p>
      <w:pPr>
        <w:bidi w:val="0"/>
        <w:jc w:val="center"/>
        <w:rPr>
          <w:rFonts w:hint="eastAsia" w:ascii="黑体" w:eastAsia="黑体" w:cs="黑体"/>
          <w:sz w:val="32"/>
          <w:szCs w:val="32"/>
        </w:rPr>
      </w:pPr>
      <w:r>
        <w:rPr>
          <w:rFonts w:hint="eastAsia" w:ascii="黑体" w:eastAsia="黑体" w:cs="黑体"/>
          <w:sz w:val="32"/>
          <w:szCs w:val="32"/>
          <w:lang w:val="en-US" w:eastAsia="zh-CN"/>
        </w:rPr>
        <w:t>财政部 税务总局公告2022年第19号</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为进一步加快释放大规模增值税留抵退税政策红利，现将有关政策公告如下：</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一、提前退还大型企业存量留抵税额，将《财政部 税务总局关于进一步加大增值税期末留抵退税政策实施力度的公告》（财政部 税务总局公告2022年第14号，以下称2022年第14号公告）第二条第二项规定的“符合条件的制造业等行业大型企业，可以自2022年10月纳税申报期起向主管税务机关申请一次性退还存量留抵税额”调整为“符合条件的制造业等行业大型企业，可以自2022年6月纳税申报期起向主管税务机关申请一次性退还存量留抵税额”。2022年6月30日前，在纳税人自愿申请的基础上，集中退还大型企业存量留抵税额。</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二、各级财政和税务部门要坚决贯彻党中央、国务院决策部署，充分认识实施好大规模留抵退税政策的重要意义，按照2022年第14号公告、《财政部 税务总局关于进一步加快增值税期末留抵退税政策实施进度的公告》（财政部 税务总局公告2022年第17号）和本公告有关要求，持续加快留抵退税进度，进一步抓紧办理小微企业、个体工商户留抵退税，加大帮扶力度，在纳税人自愿申请的基础上，积极落实存量留抵退税在2022年6月30日前集中退还的退税政策。同时，严密防范退税风险，严厉打击骗税行为，确保留抵退税退得快、退得准、退得稳、退得好。</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特此公告。</w:t>
      </w:r>
    </w:p>
    <w:p>
      <w:pPr>
        <w:pStyle w:val="7"/>
        <w:keepNext w:val="0"/>
        <w:keepLines w:val="0"/>
        <w:widowControl/>
        <w:suppressLineNumbers w:val="0"/>
        <w:spacing w:before="0" w:beforeAutospacing="0" w:after="0" w:afterAutospacing="0" w:line="23" w:lineRule="atLeast"/>
        <w:ind w:left="0" w:right="0" w:firstLine="420"/>
        <w:jc w:val="both"/>
      </w:pPr>
    </w:p>
    <w:p>
      <w:pPr>
        <w:pStyle w:val="7"/>
        <w:keepNext w:val="0"/>
        <w:keepLines w:val="0"/>
        <w:widowControl/>
        <w:suppressLineNumbers w:val="0"/>
        <w:spacing w:before="0" w:beforeAutospacing="0" w:after="0" w:afterAutospacing="0" w:line="23" w:lineRule="atLeast"/>
        <w:ind w:left="0" w:right="0" w:firstLine="420"/>
        <w:jc w:val="both"/>
      </w:pPr>
    </w:p>
    <w:p>
      <w:pPr>
        <w:pStyle w:val="7"/>
        <w:keepNext w:val="0"/>
        <w:keepLines w:val="0"/>
        <w:widowControl/>
        <w:suppressLineNumbers w:val="0"/>
        <w:spacing w:before="0" w:beforeAutospacing="0" w:after="0" w:afterAutospacing="0" w:line="23" w:lineRule="atLeast"/>
        <w:ind w:left="0" w:right="0" w:firstLine="420"/>
        <w:jc w:val="both"/>
      </w:pPr>
    </w:p>
    <w:p>
      <w:pPr>
        <w:pStyle w:val="7"/>
        <w:keepNext w:val="0"/>
        <w:keepLines w:val="0"/>
        <w:widowControl/>
        <w:suppressLineNumbers w:val="0"/>
        <w:spacing w:before="0" w:beforeAutospacing="0" w:after="0" w:afterAutospacing="0" w:line="23" w:lineRule="atLeast"/>
        <w:ind w:left="0" w:right="0" w:firstLine="420"/>
        <w:jc w:val="right"/>
      </w:pPr>
      <w:r>
        <w:rPr>
          <w:rFonts w:hint="eastAsia" w:ascii="微软雅黑" w:eastAsia="微软雅黑" w:cs="微软雅黑"/>
          <w:color w:val="333333"/>
          <w:sz w:val="24"/>
          <w:szCs w:val="24"/>
          <w:shd w:val="clear" w:color="auto" w:fill="FFFFFF"/>
        </w:rPr>
        <w:t>财政部 税务总局</w:t>
      </w:r>
    </w:p>
    <w:p>
      <w:pPr>
        <w:pStyle w:val="7"/>
        <w:keepNext w:val="0"/>
        <w:keepLines w:val="0"/>
        <w:widowControl/>
        <w:suppressLineNumbers w:val="0"/>
        <w:spacing w:before="0" w:beforeAutospacing="0" w:after="0" w:afterAutospacing="0" w:line="23" w:lineRule="atLeast"/>
        <w:ind w:left="0" w:right="0" w:firstLine="420"/>
        <w:jc w:val="right"/>
      </w:pPr>
      <w:r>
        <w:rPr>
          <w:rFonts w:hint="eastAsia" w:ascii="微软雅黑" w:eastAsia="微软雅黑" w:cs="微软雅黑"/>
          <w:color w:val="333333"/>
          <w:sz w:val="24"/>
          <w:szCs w:val="24"/>
          <w:shd w:val="clear" w:color="auto" w:fill="FFFFFF"/>
        </w:rPr>
        <w:t>2022年5月17日</w:t>
      </w:r>
    </w:p>
    <w:p>
      <w:pPr>
        <w:rPr>
          <w:rFonts w:hint="eastAsia"/>
          <w:lang w:val="en-US" w:eastAsia="zh-CN"/>
        </w:rPr>
      </w:pPr>
    </w:p>
    <w:p>
      <w:pPr>
        <w:rPr>
          <w:rFonts w:hint="eastAsia"/>
          <w:lang w:val="en-US" w:eastAsia="zh-CN"/>
        </w:rPr>
      </w:pPr>
    </w:p>
    <w:p>
      <w:pPr>
        <w:bidi w:val="0"/>
        <w:jc w:val="center"/>
        <w:rPr>
          <w:rFonts w:hint="eastAsia" w:ascii="黑体" w:eastAsia="黑体" w:cs="黑体"/>
          <w:sz w:val="32"/>
          <w:szCs w:val="32"/>
        </w:rPr>
      </w:pPr>
      <w:r>
        <w:rPr>
          <w:rFonts w:hint="eastAsia" w:ascii="黑体" w:eastAsia="黑体" w:cs="黑体"/>
          <w:sz w:val="32"/>
          <w:szCs w:val="32"/>
        </w:rPr>
        <w:t>财政部 税务总局关于扩大全额退还增值税留抵税额政策行业范围的公告</w:t>
      </w:r>
    </w:p>
    <w:p>
      <w:pPr>
        <w:bidi w:val="0"/>
        <w:jc w:val="center"/>
        <w:rPr>
          <w:rFonts w:hint="eastAsia" w:ascii="黑体" w:eastAsia="黑体" w:cs="黑体"/>
          <w:sz w:val="32"/>
          <w:szCs w:val="32"/>
        </w:rPr>
      </w:pPr>
      <w:r>
        <w:rPr>
          <w:rFonts w:hint="eastAsia" w:ascii="黑体" w:eastAsia="黑体" w:cs="黑体"/>
          <w:sz w:val="32"/>
          <w:szCs w:val="32"/>
          <w:lang w:val="en-US" w:eastAsia="zh-CN"/>
        </w:rPr>
        <w:t>财政部 税务总局公告2022年第21号</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为进一步加大增值税留抵退税政策实施力度，着力稳市场主体稳就业，现将扩大全额退还增值税留抵税额政策行业范围有关政策公告如下：</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一、扩大全额退还增值税留抵税额政策行业范围，将《财政部 税务总局关于进一步加大增值税期末留抵退税政策实施力度的公告》（财政部 税务总局公告2022年第14号，以下称2022年第14号公告）第二条规定的制造业等行业按月全额退还增值税增量留抵税额、一次性退还存量留抵税额的政策范围，扩大至“批发和零售业”、“农、林、牧、渔业”、“住宿和餐饮业”、“居民服务、修理和其他服务业”、“教育”、“卫生和社会工作”和“文化、体育和娱乐业”（以下称批发零售业等行业）企业（含个体工商户，下同）。</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（一）符合条件的批发零售业等行业企业，可以自2022年7月纳税申报期起向主管税务机关申请退还增量留抵税额。</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（二）符合条件的批发零售业等行业企业，可以自2022年7月纳税申报期起向主管税务机关申请一次性退还存量留抵税额。</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二、2022年第14号公告和本公告所称制造业、批发零售业等行业企业，是指从事《国民经济行业分类》中“批发和零售业”、“农、林、牧、渔业”、“住宿和餐饮业”、“居民服务、修理和其他服务业”、“教育”、“卫生和社会工作”、“文化、体育和娱乐业”、“制造业”、“科学研究和技术服务业”、“电力、热力、燃气及水生产和供应业”、“软件和信息技术服务业”、“生态保护和环境治理业”和“交通运输、仓储和邮政业”业务相应发生的增值税销售额占全部增值税销售额的比重超过50%的纳税人。</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上述销售额比重根据纳税人申请退税前连续12个月的销售额计算确定；申请退税前经营期不满12个月但满3个月的，按照实际经营期的销售额计算确定。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三、按照2022年第14号公告第六条规定适用《中小企业划型标准规定》（工信部联企业〔2011〕300号）和《金融业企业划型标准规定》（银发〔2015〕309号）时，纳税人的行业归属，根据《国民经济行业分类》关于以主要经济活动确定行业归属的原则，以上一会计年度从事《国民经济行业分类》对应业务增值税销售额占全部增值税销售额比重最高的行业确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四、制造业、批发零售业等行业企业申请留抵退税的其他规定，继续按照2022年第14号公告等有关规定执行。</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五、本公告第一条和第二条自2022年7月1日起执行；第三条自公告发布之日起执行。</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各级财政和税务部门要坚决贯彻党中央、国务院决策部署，按照2022年第14号公告、《财政部 税务总局关于进一步加快增值税期末留抵退税政策实施进度的公告》（财政部 税务总局公告2022年第17号）、《财政部 税务总局关于进一步持续加快增值税期末留抵退税政策实施进度的公告》（财政部 税务总局公告2022年第19号）和本公告有关要求，在纳税人自愿申请的基础上，狠抓落实，持续加快留抵退税进度。同时，严密防范退税风险，严厉打击骗税行为。</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特此公告。</w:t>
      </w:r>
    </w:p>
    <w:p>
      <w:pPr>
        <w:pStyle w:val="7"/>
        <w:keepNext w:val="0"/>
        <w:keepLines w:val="0"/>
        <w:widowControl/>
        <w:suppressLineNumbers w:val="0"/>
        <w:spacing w:before="0" w:beforeAutospacing="0" w:after="0" w:afterAutospacing="0" w:line="23" w:lineRule="atLeast"/>
        <w:ind w:left="0" w:right="0"/>
        <w:jc w:val="right"/>
      </w:pPr>
      <w:r>
        <w:rPr>
          <w:rFonts w:hint="eastAsia" w:ascii="微软雅黑" w:eastAsia="微软雅黑" w:cs="微软雅黑"/>
          <w:color w:val="333333"/>
          <w:sz w:val="24"/>
          <w:szCs w:val="24"/>
          <w:shd w:val="clear" w:color="auto" w:fill="FFFFFF"/>
        </w:rPr>
        <w:t>财政部 税务总局</w:t>
      </w:r>
    </w:p>
    <w:p>
      <w:pPr>
        <w:pStyle w:val="7"/>
        <w:keepNext w:val="0"/>
        <w:keepLines w:val="0"/>
        <w:widowControl/>
        <w:suppressLineNumbers w:val="0"/>
        <w:spacing w:before="0" w:beforeAutospacing="0" w:after="0" w:afterAutospacing="0" w:line="23" w:lineRule="atLeast"/>
        <w:ind w:left="0" w:right="0"/>
        <w:jc w:val="right"/>
      </w:pPr>
      <w:r>
        <w:rPr>
          <w:rFonts w:hint="eastAsia" w:ascii="微软雅黑" w:eastAsia="微软雅黑" w:cs="微软雅黑"/>
          <w:color w:val="333333"/>
          <w:sz w:val="24"/>
          <w:szCs w:val="24"/>
          <w:shd w:val="clear" w:color="auto" w:fill="FFFFFF"/>
        </w:rPr>
        <w:t>2022年6月7日</w:t>
      </w:r>
    </w:p>
    <w:p>
      <w:pPr>
        <w:rPr>
          <w:rFonts w:hint="eastAsia"/>
          <w:lang w:val="en-US" w:eastAsia="zh-CN"/>
        </w:rPr>
      </w:pPr>
    </w:p>
    <w:p>
      <w:pPr>
        <w:pStyle w:val="3"/>
        <w:numPr>
          <w:ilvl w:val="0"/>
          <w:numId w:val="1"/>
        </w:numPr>
        <w:bidi w:val="0"/>
        <w:outlineLvl w:val="0"/>
        <w:rPr>
          <w:rFonts w:hint="eastAsia"/>
          <w:lang w:val="en-US" w:eastAsia="zh-CN"/>
        </w:rPr>
      </w:pPr>
      <w:bookmarkStart w:id="2" w:name="_Toc28755"/>
      <w:r>
        <w:rPr>
          <w:rFonts w:hint="eastAsia"/>
          <w:lang w:val="en-US" w:eastAsia="zh-CN"/>
        </w:rPr>
        <w:t>中小微企业设备器具所得税税前扣除政策</w:t>
      </w:r>
      <w:bookmarkEnd w:id="2"/>
    </w:p>
    <w:p>
      <w:pPr>
        <w:bidi w:val="0"/>
        <w:jc w:val="center"/>
        <w:rPr>
          <w:rFonts w:hint="eastAsia" w:ascii="黑体" w:eastAsia="黑体" w:cs="黑体"/>
          <w:sz w:val="32"/>
          <w:szCs w:val="32"/>
        </w:rPr>
      </w:pPr>
      <w:r>
        <w:rPr>
          <w:rFonts w:hint="eastAsia" w:ascii="黑体" w:eastAsia="黑体" w:cs="黑体"/>
          <w:sz w:val="32"/>
          <w:szCs w:val="32"/>
        </w:rPr>
        <w:t>财政部 税务总局关于中小微企业设备器具所得税税前扣除有关政策的公告</w:t>
      </w:r>
    </w:p>
    <w:p>
      <w:pPr>
        <w:bidi w:val="0"/>
        <w:jc w:val="center"/>
        <w:rPr>
          <w:rFonts w:hint="eastAsia" w:ascii="黑体" w:eastAsia="黑体" w:cs="黑体"/>
          <w:sz w:val="32"/>
          <w:szCs w:val="32"/>
        </w:rPr>
      </w:pPr>
      <w:r>
        <w:rPr>
          <w:rFonts w:hint="eastAsia" w:ascii="黑体" w:eastAsia="黑体" w:cs="黑体"/>
          <w:sz w:val="32"/>
          <w:szCs w:val="32"/>
          <w:lang w:val="en-US" w:eastAsia="zh-CN"/>
        </w:rPr>
        <w:t>财政部 税务总局公告2022年第12号</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为促进中小微企业设备更新和技术升级，持续激发市场主体创新活力，现就有关企业所得税税前扣除政策公告如下：</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一、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企业选择适用上述政策当年不足扣除形成的亏损，可在以后5个纳税年度结转弥补，享受其他延长亏损结转年限政策的企业可按现行规定执行。</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二、本公告所称中小微企业是指从事国家非限制和禁止行业，且符合以下条件的企业：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（一）信息传输业、建筑业、租赁和商务服务业：从业人员2000人以下，或营业收入10亿元以下或资产总额12亿元以下；</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（二）房地产开发经营：营业收入20亿元以下或资产总额1亿元以下；</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（三）其他行业：从业人员1000人以下或营业收入4亿元以下。</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三、本公告所称设备、器具，是指除房屋、建筑物以外的固定资产；所称从业人数，包括与企业建立劳动关系的职工人数和企业接受的劳务派遣用工人数。</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从业人数和资产总额指标，应按企业全年的季度平均值确定。具体计算公式如下：</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季度平均值=（季初值+季末值）÷2</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全年季度平均值=全年各季度平均值之和÷4</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年度中间开业或者终止经营活动的，以其实际经营期作为一个纳税年度确定上述相关指标。</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四、中小微企业可按季（月）在预缴申报时享受上述政策。本公告发布前企业在2022年已购置的设备、器具，可在本公告发布后的预缴申报、年度汇算清缴时享受。</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五、中小微企业可根据自身生产经营核算需要自行选择享受上述政策，当年度未选择享受的，以后年度不得再变更享受。</w:t>
      </w:r>
    </w:p>
    <w:p>
      <w:pPr>
        <w:pStyle w:val="7"/>
        <w:keepNext w:val="0"/>
        <w:keepLines w:val="0"/>
        <w:widowControl/>
        <w:suppressLineNumbers w:val="0"/>
        <w:spacing w:before="0" w:beforeAutospacing="0" w:after="0" w:afterAutospacing="0" w:line="23" w:lineRule="atLeast"/>
        <w:ind w:left="0" w:right="0" w:firstLine="420"/>
        <w:jc w:val="both"/>
      </w:pPr>
    </w:p>
    <w:p>
      <w:pPr>
        <w:pStyle w:val="7"/>
        <w:keepNext w:val="0"/>
        <w:keepLines w:val="0"/>
        <w:widowControl/>
        <w:suppressLineNumbers w:val="0"/>
        <w:spacing w:before="0" w:beforeAutospacing="0" w:after="0" w:afterAutospacing="0" w:line="23" w:lineRule="atLeast"/>
        <w:ind w:left="0" w:right="0" w:firstLine="420"/>
        <w:jc w:val="right"/>
      </w:pPr>
      <w:r>
        <w:rPr>
          <w:rFonts w:hint="eastAsia" w:ascii="微软雅黑" w:eastAsia="微软雅黑" w:cs="微软雅黑"/>
          <w:color w:val="333333"/>
          <w:sz w:val="24"/>
          <w:szCs w:val="24"/>
          <w:shd w:val="clear" w:color="auto" w:fill="FFFFFF"/>
        </w:rPr>
        <w:t>财政部 税务总局</w:t>
      </w:r>
    </w:p>
    <w:p>
      <w:pPr>
        <w:pStyle w:val="7"/>
        <w:keepNext w:val="0"/>
        <w:keepLines w:val="0"/>
        <w:widowControl/>
        <w:suppressLineNumbers w:val="0"/>
        <w:spacing w:before="0" w:beforeAutospacing="0" w:after="0" w:afterAutospacing="0" w:line="23" w:lineRule="atLeast"/>
        <w:ind w:left="0" w:right="0" w:firstLine="420"/>
        <w:jc w:val="right"/>
      </w:pPr>
      <w:r>
        <w:rPr>
          <w:rFonts w:hint="eastAsia" w:ascii="微软雅黑" w:eastAsia="微软雅黑" w:cs="微软雅黑"/>
          <w:color w:val="333333"/>
          <w:sz w:val="24"/>
          <w:szCs w:val="24"/>
          <w:shd w:val="clear" w:color="auto" w:fill="FFFFFF"/>
        </w:rPr>
        <w:t>2022年3月2日</w:t>
      </w:r>
    </w:p>
    <w:p>
      <w:pPr>
        <w:rPr>
          <w:rFonts w:hint="eastAsia"/>
          <w:lang w:val="en-US" w:eastAsia="zh-CN"/>
        </w:rPr>
      </w:pPr>
    </w:p>
    <w:p>
      <w:pPr>
        <w:pStyle w:val="3"/>
        <w:numPr>
          <w:ilvl w:val="0"/>
          <w:numId w:val="1"/>
        </w:numPr>
        <w:bidi w:val="0"/>
        <w:outlineLvl w:val="0"/>
        <w:rPr>
          <w:lang w:val="en-US" w:eastAsia="zh-CN"/>
        </w:rPr>
      </w:pPr>
      <w:bookmarkStart w:id="3" w:name="_Toc9554"/>
      <w:r>
        <w:rPr>
          <w:rFonts w:hint="eastAsia"/>
          <w:lang w:val="en-US" w:eastAsia="zh-CN"/>
        </w:rPr>
        <w:t>航空和铁路运输企业分支机构暂停预缴增值税政策及公共交通运输服务免征增值税政策</w:t>
      </w:r>
      <w:bookmarkEnd w:id="3"/>
    </w:p>
    <w:p>
      <w:pPr>
        <w:pStyle w:val="3"/>
        <w:bidi w:val="0"/>
        <w:outlineLvl w:val="9"/>
        <w:rPr>
          <w:lang w:val="en-US" w:eastAsia="zh-CN"/>
        </w:rPr>
      </w:pPr>
    </w:p>
    <w:p>
      <w:pPr>
        <w:bidi w:val="0"/>
        <w:jc w:val="center"/>
        <w:rPr>
          <w:rFonts w:hint="eastAsia" w:ascii="黑体" w:eastAsia="黑体" w:cs="黑体"/>
          <w:sz w:val="32"/>
          <w:szCs w:val="32"/>
        </w:rPr>
      </w:pPr>
      <w:r>
        <w:rPr>
          <w:rFonts w:hint="eastAsia" w:ascii="黑体" w:eastAsia="黑体" w:cs="黑体"/>
          <w:sz w:val="32"/>
          <w:szCs w:val="32"/>
        </w:rPr>
        <w:t>财政部 税务总局关于促进服务业领域困难行业纾困发展有关增值税政策的公告</w:t>
      </w:r>
    </w:p>
    <w:p>
      <w:pPr>
        <w:bidi w:val="0"/>
        <w:jc w:val="center"/>
        <w:rPr>
          <w:rFonts w:hint="eastAsia" w:ascii="黑体" w:eastAsia="黑体" w:cs="黑体"/>
          <w:sz w:val="32"/>
          <w:szCs w:val="32"/>
        </w:rPr>
      </w:pPr>
      <w:r>
        <w:rPr>
          <w:rFonts w:hint="eastAsia" w:ascii="黑体" w:eastAsia="黑体" w:cs="黑体"/>
          <w:sz w:val="32"/>
          <w:szCs w:val="32"/>
          <w:lang w:val="en-US" w:eastAsia="zh-CN"/>
        </w:rPr>
        <w:t>财政部 税务总局公告2022年第11号</w:t>
      </w:r>
    </w:p>
    <w:p>
      <w:pPr>
        <w:pStyle w:val="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color w:val="333333"/>
          <w:sz w:val="24"/>
          <w:szCs w:val="24"/>
          <w:shd w:val="clear" w:color="auto" w:fill="FFFFFF"/>
        </w:rPr>
        <w:t>为促进服务业领域困难行业纾困发展，现将有关增值税政策公告如下：</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一、《财政部 税务总局 海关总署关于深化增值税改革有关政策的公告》（财政部 税务总局 海关总署公告2019年39号）第七条和《财政部 税务总局关于明确生活性服务业增值税加计抵减政策的公告》（财政部 税务总局公告2019年第87号）规定的生产、生活性服务业增值税加计抵减政策，执行期限延长至2022年12月31日。</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二、自2022年1月1日至2022年12月31日，航空和铁路运输企业分支机构暂停预缴增值税。2022年2月纳税申报期至文件发布之日已预缴的增值税予以退还。</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三、自2022年1月1日至2022年12月31日，对纳税人提供公共交通运输服务取得的收入，免征增值税。公共交通运输服务的具体范围，按照《营业税改征增值税试点有关事项的规定》（财税〔2016〕36号印发）执行。在本公告发布之前已征收入库的按上述规定应予免征的增值税税款，可抵减纳税人以后月份应缴纳的增值税税款或者办理税款退库。已向购买方开具增值税专用发票的，应将专用发票追回后方可办理免税。</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特此公告。</w:t>
      </w:r>
    </w:p>
    <w:p>
      <w:pPr>
        <w:pStyle w:val="7"/>
        <w:keepNext w:val="0"/>
        <w:keepLines w:val="0"/>
        <w:widowControl/>
        <w:suppressLineNumbers w:val="0"/>
        <w:spacing w:before="0" w:beforeAutospacing="0" w:after="0" w:afterAutospacing="0" w:line="23" w:lineRule="atLeast"/>
        <w:ind w:left="0" w:right="0" w:firstLine="420"/>
        <w:jc w:val="both"/>
      </w:pPr>
    </w:p>
    <w:p>
      <w:pPr>
        <w:pStyle w:val="7"/>
        <w:keepNext w:val="0"/>
        <w:keepLines w:val="0"/>
        <w:widowControl/>
        <w:suppressLineNumbers w:val="0"/>
        <w:spacing w:before="0" w:beforeAutospacing="0" w:after="0" w:afterAutospacing="0" w:line="23" w:lineRule="atLeast"/>
        <w:ind w:left="0" w:right="0" w:firstLine="420"/>
        <w:jc w:val="right"/>
      </w:pPr>
      <w:r>
        <w:rPr>
          <w:rFonts w:hint="eastAsia" w:ascii="微软雅黑" w:eastAsia="微软雅黑" w:cs="微软雅黑"/>
          <w:color w:val="333333"/>
          <w:sz w:val="24"/>
          <w:szCs w:val="24"/>
          <w:shd w:val="clear" w:color="auto" w:fill="FFFFFF"/>
        </w:rPr>
        <w:t>财政部 税务总局</w:t>
      </w:r>
    </w:p>
    <w:p>
      <w:pPr>
        <w:pStyle w:val="7"/>
        <w:keepNext w:val="0"/>
        <w:keepLines w:val="0"/>
        <w:widowControl/>
        <w:suppressLineNumbers w:val="0"/>
        <w:spacing w:before="0" w:beforeAutospacing="0" w:after="0" w:afterAutospacing="0" w:line="23" w:lineRule="atLeast"/>
        <w:ind w:left="0" w:right="0" w:firstLine="420"/>
        <w:jc w:val="right"/>
      </w:pPr>
      <w:r>
        <w:rPr>
          <w:rFonts w:hint="eastAsia" w:ascii="微软雅黑" w:eastAsia="微软雅黑" w:cs="微软雅黑"/>
          <w:color w:val="333333"/>
          <w:sz w:val="24"/>
          <w:szCs w:val="24"/>
          <w:shd w:val="clear" w:color="auto" w:fill="FFFFFF"/>
        </w:rPr>
        <w:t>2022年3月3日</w:t>
      </w:r>
    </w:p>
    <w:p>
      <w:pPr>
        <w:rPr>
          <w:lang w:val="en-US" w:eastAsia="zh-CN"/>
        </w:rPr>
      </w:pPr>
    </w:p>
    <w:p>
      <w:pPr>
        <w:pStyle w:val="3"/>
        <w:numPr>
          <w:ilvl w:val="0"/>
          <w:numId w:val="1"/>
        </w:numPr>
        <w:bidi w:val="0"/>
        <w:outlineLvl w:val="0"/>
        <w:rPr>
          <w:b/>
          <w:lang w:val="en-US" w:eastAsia="zh-CN"/>
        </w:rPr>
      </w:pPr>
      <w:bookmarkStart w:id="4" w:name="_Toc32324"/>
      <w:r>
        <w:rPr>
          <w:rFonts w:hint="eastAsia"/>
          <w:b/>
          <w:lang w:val="en-US" w:eastAsia="zh-CN"/>
        </w:rPr>
        <w:t>3岁以下婴幼儿护照个人所得税专项附加扣除政策</w:t>
      </w:r>
      <w:bookmarkEnd w:id="4"/>
    </w:p>
    <w:p>
      <w:pPr>
        <w:bidi w:val="0"/>
        <w:jc w:val="center"/>
        <w:rPr>
          <w:rFonts w:hint="eastAsia" w:ascii="黑体" w:eastAsia="黑体" w:cs="黑体"/>
          <w:sz w:val="32"/>
          <w:szCs w:val="32"/>
        </w:rPr>
      </w:pPr>
      <w:r>
        <w:rPr>
          <w:rFonts w:hint="eastAsia" w:ascii="黑体" w:eastAsia="黑体" w:cs="黑体"/>
          <w:sz w:val="32"/>
          <w:szCs w:val="32"/>
        </w:rPr>
        <w:t>国务院关于设立3岁以下婴幼儿照护个人所得税专项附加扣除的通知</w:t>
      </w:r>
    </w:p>
    <w:p>
      <w:pPr>
        <w:bidi w:val="0"/>
        <w:jc w:val="center"/>
        <w:rPr>
          <w:rFonts w:hint="eastAsia" w:ascii="黑体" w:eastAsia="黑体" w:cs="黑体"/>
          <w:sz w:val="32"/>
          <w:szCs w:val="32"/>
        </w:rPr>
      </w:pPr>
      <w:r>
        <w:rPr>
          <w:rFonts w:hint="eastAsia" w:ascii="黑体" w:eastAsia="黑体" w:cs="黑体"/>
          <w:sz w:val="32"/>
          <w:szCs w:val="32"/>
          <w:lang w:val="en-US" w:eastAsia="zh-CN"/>
        </w:rPr>
        <w:t>国发〔2022〕8号</w:t>
      </w:r>
    </w:p>
    <w:p>
      <w:pPr>
        <w:pStyle w:val="7"/>
        <w:keepNext w:val="0"/>
        <w:keepLines w:val="0"/>
        <w:widowControl/>
        <w:suppressLineNumbers w:val="0"/>
        <w:spacing w:before="0" w:beforeAutospacing="0" w:after="0" w:afterAutospacing="0" w:line="23" w:lineRule="atLeast"/>
        <w:ind w:left="0" w:right="0"/>
        <w:jc w:val="both"/>
      </w:pPr>
      <w:r>
        <w:rPr>
          <w:rFonts w:hint="eastAsia" w:ascii="微软雅黑" w:eastAsia="微软雅黑" w:cs="微软雅黑"/>
          <w:color w:val="333333"/>
          <w:sz w:val="24"/>
          <w:szCs w:val="24"/>
          <w:shd w:val="clear" w:color="auto" w:fill="FFFFFF"/>
        </w:rPr>
        <w:t>各省、自治区、直辖市人民政府，国务院各部委、各直属机构：</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为贯彻落实《中共中央 国务院关于优化生育政策促进人口长期均衡发展的决定》，依据《中华人民共和国个人所得税法》有关规定，国务院决定，设立3岁以下婴幼儿照护个人所得税专项附加扣除。现将有关事项通知如下：</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一、纳税人照护3岁以下婴幼儿子女的相关支出，按照每个婴幼儿每月1000元的标准定额扣除。</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二、父母可以选择由其中一方按扣除标准的100%扣除，也可以选择由双方分别按扣除标准的50%扣除，具体扣除方式在一个纳税年度内不能变更。</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三、3岁以下婴幼儿照护个人所得税专项附加扣除涉及的保障措施和其他事项，参照《个人所得税专项附加扣除暂行办法》有关规定执行。</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四、3岁以下婴幼儿照护个人所得税专项附加扣除自2022年1月1日起实施。</w:t>
      </w:r>
    </w:p>
    <w:p>
      <w:pPr>
        <w:pStyle w:val="7"/>
        <w:keepNext w:val="0"/>
        <w:keepLines w:val="0"/>
        <w:widowControl/>
        <w:suppressLineNumbers w:val="0"/>
        <w:spacing w:before="0" w:beforeAutospacing="0" w:after="0" w:afterAutospacing="0" w:line="23" w:lineRule="atLeast"/>
        <w:ind w:left="0" w:right="0" w:firstLine="420"/>
        <w:jc w:val="both"/>
      </w:pPr>
    </w:p>
    <w:p>
      <w:pPr>
        <w:pStyle w:val="7"/>
        <w:keepNext w:val="0"/>
        <w:keepLines w:val="0"/>
        <w:widowControl/>
        <w:suppressLineNumbers w:val="0"/>
        <w:spacing w:before="0" w:beforeAutospacing="0" w:after="0" w:afterAutospacing="0" w:line="23" w:lineRule="atLeast"/>
        <w:ind w:left="0" w:right="0" w:firstLine="420"/>
        <w:jc w:val="right"/>
      </w:pPr>
      <w:r>
        <w:rPr>
          <w:rFonts w:hint="eastAsia" w:ascii="微软雅黑" w:eastAsia="微软雅黑" w:cs="微软雅黑"/>
          <w:color w:val="333333"/>
          <w:sz w:val="24"/>
          <w:szCs w:val="24"/>
          <w:shd w:val="clear" w:color="auto" w:fill="FFFFFF"/>
        </w:rPr>
        <w:t>国务院</w:t>
      </w:r>
    </w:p>
    <w:p>
      <w:pPr>
        <w:pStyle w:val="7"/>
        <w:keepNext w:val="0"/>
        <w:keepLines w:val="0"/>
        <w:widowControl/>
        <w:suppressLineNumbers w:val="0"/>
        <w:spacing w:before="0" w:beforeAutospacing="0" w:after="0" w:afterAutospacing="0" w:line="23" w:lineRule="atLeast"/>
        <w:ind w:left="0" w:right="0" w:firstLine="420"/>
        <w:jc w:val="right"/>
      </w:pPr>
      <w:r>
        <w:rPr>
          <w:rFonts w:hint="eastAsia" w:ascii="微软雅黑" w:eastAsia="微软雅黑" w:cs="微软雅黑"/>
          <w:color w:val="333333"/>
          <w:sz w:val="24"/>
          <w:szCs w:val="24"/>
          <w:shd w:val="clear" w:color="auto" w:fill="FFFFFF"/>
        </w:rPr>
        <w:t>2022年3月19日</w:t>
      </w:r>
    </w:p>
    <w:p>
      <w:pPr>
        <w:rPr>
          <w:lang w:val="en-US" w:eastAsia="zh-CN"/>
        </w:rPr>
      </w:pPr>
    </w:p>
    <w:p>
      <w:pPr>
        <w:pStyle w:val="3"/>
        <w:numPr>
          <w:ilvl w:val="0"/>
          <w:numId w:val="1"/>
        </w:numPr>
        <w:bidi w:val="0"/>
        <w:outlineLvl w:val="0"/>
        <w:rPr>
          <w:b/>
          <w:lang w:val="en-US" w:eastAsia="zh-CN"/>
        </w:rPr>
      </w:pPr>
      <w:bookmarkStart w:id="5" w:name="_Toc28048"/>
      <w:r>
        <w:rPr>
          <w:rFonts w:hint="eastAsia"/>
          <w:b/>
          <w:lang w:val="en-US" w:eastAsia="zh-CN"/>
        </w:rPr>
        <w:t>增值税小规模纳税人免征增值税政策</w:t>
      </w:r>
      <w:bookmarkEnd w:id="5"/>
    </w:p>
    <w:p>
      <w:pPr>
        <w:bidi w:val="0"/>
        <w:jc w:val="center"/>
        <w:rPr>
          <w:rFonts w:hint="eastAsia" w:ascii="黑体" w:eastAsia="黑体" w:cs="黑体"/>
          <w:sz w:val="32"/>
          <w:szCs w:val="32"/>
        </w:rPr>
      </w:pPr>
      <w:r>
        <w:rPr>
          <w:rFonts w:hint="eastAsia" w:ascii="黑体" w:eastAsia="黑体" w:cs="黑体"/>
          <w:sz w:val="32"/>
          <w:szCs w:val="32"/>
        </w:rPr>
        <w:t>财政部 税务总局关于对增值税小规模纳税人免征增值税的公告</w:t>
      </w:r>
    </w:p>
    <w:p>
      <w:pPr>
        <w:bidi w:val="0"/>
        <w:jc w:val="center"/>
        <w:rPr>
          <w:rFonts w:hint="eastAsia" w:ascii="黑体" w:eastAsia="黑体" w:cs="黑体"/>
          <w:sz w:val="32"/>
          <w:szCs w:val="32"/>
        </w:rPr>
      </w:pPr>
      <w:r>
        <w:rPr>
          <w:rFonts w:hint="eastAsia" w:ascii="黑体" w:eastAsia="黑体" w:cs="黑体"/>
          <w:sz w:val="32"/>
          <w:szCs w:val="32"/>
          <w:lang w:val="en-US" w:eastAsia="zh-CN"/>
        </w:rPr>
        <w:t>财政部 税务总局公告2022年第15号</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为进一步支持小微企业发展，现将有关增值税政策公告如下：</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自2022年4月1日至2022年12月31日，增值税小规模纳税人适用3%征收率的应税销售收入，免征增值税；适用3%预征率的预缴增值税项目，暂停预缴增值税。</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《财政部 税务总局关于延续实施应对疫情部分税费优惠政策的公告》（财政部 税务总局公告2021年第7号）第一条规定的税收优惠政策，执行期限延长至2022年3月31日。</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特此公告。</w:t>
      </w:r>
    </w:p>
    <w:p>
      <w:pPr>
        <w:pStyle w:val="7"/>
        <w:keepNext w:val="0"/>
        <w:keepLines w:val="0"/>
        <w:widowControl/>
        <w:suppressLineNumbers w:val="0"/>
        <w:spacing w:before="0" w:beforeAutospacing="0" w:after="0" w:afterAutospacing="0" w:line="23" w:lineRule="atLeast"/>
        <w:ind w:left="0" w:right="0" w:firstLine="420"/>
        <w:jc w:val="both"/>
      </w:pPr>
    </w:p>
    <w:p>
      <w:pPr>
        <w:pStyle w:val="7"/>
        <w:keepNext w:val="0"/>
        <w:keepLines w:val="0"/>
        <w:widowControl/>
        <w:suppressLineNumbers w:val="0"/>
        <w:spacing w:before="0" w:beforeAutospacing="0" w:after="0" w:afterAutospacing="0" w:line="23" w:lineRule="atLeast"/>
        <w:ind w:left="0" w:right="0" w:firstLine="420"/>
        <w:jc w:val="right"/>
      </w:pPr>
      <w:r>
        <w:rPr>
          <w:rFonts w:hint="eastAsia" w:ascii="微软雅黑" w:eastAsia="微软雅黑" w:cs="微软雅黑"/>
          <w:color w:val="333333"/>
          <w:sz w:val="24"/>
          <w:szCs w:val="24"/>
          <w:shd w:val="clear" w:color="auto" w:fill="FFFFFF"/>
        </w:rPr>
        <w:t>财政部 税务总局</w:t>
      </w:r>
    </w:p>
    <w:p>
      <w:pPr>
        <w:pStyle w:val="7"/>
        <w:keepNext w:val="0"/>
        <w:keepLines w:val="0"/>
        <w:widowControl/>
        <w:suppressLineNumbers w:val="0"/>
        <w:spacing w:before="0" w:beforeAutospacing="0" w:after="0" w:afterAutospacing="0" w:line="23" w:lineRule="atLeast"/>
        <w:ind w:left="0" w:right="0" w:firstLine="420"/>
        <w:jc w:val="right"/>
      </w:pPr>
      <w:r>
        <w:rPr>
          <w:rFonts w:hint="eastAsia" w:ascii="微软雅黑" w:eastAsia="微软雅黑" w:cs="微软雅黑"/>
          <w:color w:val="333333"/>
          <w:sz w:val="24"/>
          <w:szCs w:val="24"/>
          <w:shd w:val="clear" w:color="auto" w:fill="FFFFFF"/>
        </w:rPr>
        <w:t>2022年3月24日</w:t>
      </w:r>
    </w:p>
    <w:p>
      <w:pPr>
        <w:rPr>
          <w:lang w:val="en-US" w:eastAsia="zh-CN"/>
        </w:rPr>
      </w:pPr>
    </w:p>
    <w:p>
      <w:pPr>
        <w:pStyle w:val="3"/>
        <w:numPr>
          <w:ilvl w:val="0"/>
          <w:numId w:val="1"/>
        </w:numPr>
        <w:bidi w:val="0"/>
        <w:outlineLvl w:val="0"/>
        <w:rPr>
          <w:b/>
          <w:lang w:val="en-US" w:eastAsia="zh-CN"/>
        </w:rPr>
      </w:pPr>
      <w:bookmarkStart w:id="6" w:name="_Toc19321"/>
      <w:r>
        <w:rPr>
          <w:rFonts w:hint="eastAsia"/>
          <w:b/>
          <w:lang w:val="en-US" w:eastAsia="zh-CN"/>
        </w:rPr>
        <w:t>科技型中小企业研发费用加计扣除政策</w:t>
      </w:r>
      <w:bookmarkEnd w:id="6"/>
    </w:p>
    <w:p>
      <w:pPr>
        <w:bidi w:val="0"/>
        <w:jc w:val="center"/>
        <w:rPr>
          <w:rFonts w:hint="eastAsia" w:ascii="黑体" w:eastAsia="黑体" w:cs="黑体"/>
          <w:sz w:val="32"/>
          <w:szCs w:val="32"/>
        </w:rPr>
      </w:pPr>
      <w:r>
        <w:rPr>
          <w:rFonts w:hint="eastAsia" w:ascii="黑体" w:eastAsia="黑体" w:cs="黑体"/>
          <w:sz w:val="32"/>
          <w:szCs w:val="32"/>
        </w:rPr>
        <w:t>财政部 税务总局 科技部关于进一步提高科技型中小企业研发费用税前加计扣除比例的公告</w:t>
      </w:r>
    </w:p>
    <w:p>
      <w:pPr>
        <w:bidi w:val="0"/>
        <w:jc w:val="center"/>
        <w:rPr>
          <w:rFonts w:hint="eastAsia" w:ascii="黑体" w:eastAsia="黑体" w:cs="黑体"/>
          <w:sz w:val="32"/>
          <w:szCs w:val="32"/>
        </w:rPr>
      </w:pPr>
      <w:r>
        <w:rPr>
          <w:rFonts w:hint="eastAsia" w:ascii="黑体" w:eastAsia="黑体" w:cs="黑体"/>
          <w:sz w:val="32"/>
          <w:szCs w:val="32"/>
          <w:lang w:val="en-US" w:eastAsia="zh-CN"/>
        </w:rPr>
        <w:t>财政部 税务总局 科技部公告2022年第16号</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为进一步支持科技创新，鼓励科技型中小企业加大研发投入，现就提高科技型中小企业研究开发费用（以下简称研发费用）税前加计扣除比例有关问题公告如下：</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一、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二、科技型中小企业条件和管理办法按照《科技部 财政部 国家税务总局关于印发&lt;科技型中小企业评价办法&gt;的通知》（国科发政〔2017〕115号）执行。</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三、科技型中小企业享受研发费用税前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四、本公告自2022年1月1日起执行。</w:t>
      </w:r>
    </w:p>
    <w:p>
      <w:pPr>
        <w:pStyle w:val="7"/>
        <w:keepNext w:val="0"/>
        <w:keepLines w:val="0"/>
        <w:widowControl/>
        <w:suppressLineNumbers w:val="0"/>
        <w:spacing w:before="0" w:beforeAutospacing="0" w:after="0" w:afterAutospacing="0" w:line="23" w:lineRule="atLeast"/>
        <w:ind w:left="0" w:right="0"/>
        <w:jc w:val="right"/>
      </w:pPr>
      <w:r>
        <w:rPr>
          <w:rFonts w:hint="eastAsia" w:ascii="微软雅黑" w:eastAsia="微软雅黑" w:cs="微软雅黑"/>
          <w:color w:val="333333"/>
          <w:sz w:val="24"/>
          <w:szCs w:val="24"/>
          <w:shd w:val="clear" w:color="auto" w:fill="FFFFFF"/>
        </w:rPr>
        <w:t>财政部 税务总局 科技部</w:t>
      </w:r>
    </w:p>
    <w:p>
      <w:pPr>
        <w:pStyle w:val="7"/>
        <w:keepNext w:val="0"/>
        <w:keepLines w:val="0"/>
        <w:widowControl/>
        <w:suppressLineNumbers w:val="0"/>
        <w:spacing w:before="0" w:beforeAutospacing="0" w:after="0" w:afterAutospacing="0" w:line="23" w:lineRule="atLeast"/>
        <w:ind w:left="0" w:right="0"/>
        <w:jc w:val="right"/>
      </w:pPr>
      <w:r>
        <w:rPr>
          <w:rFonts w:hint="eastAsia" w:ascii="微软雅黑" w:eastAsia="微软雅黑" w:cs="微软雅黑"/>
          <w:color w:val="333333"/>
          <w:sz w:val="24"/>
          <w:szCs w:val="24"/>
          <w:shd w:val="clear" w:color="auto" w:fill="FFFFFF"/>
        </w:rPr>
        <w:t>2022年3月23日</w:t>
      </w:r>
    </w:p>
    <w:p>
      <w:pPr>
        <w:rPr>
          <w:lang w:val="en-US" w:eastAsia="zh-CN"/>
        </w:rPr>
      </w:pPr>
    </w:p>
    <w:p>
      <w:pPr>
        <w:pStyle w:val="3"/>
        <w:numPr>
          <w:ilvl w:val="0"/>
          <w:numId w:val="1"/>
        </w:numPr>
        <w:bidi w:val="0"/>
        <w:outlineLvl w:val="0"/>
        <w:rPr>
          <w:b/>
          <w:lang w:val="en-US" w:eastAsia="zh-CN"/>
        </w:rPr>
      </w:pPr>
      <w:bookmarkStart w:id="7" w:name="_Toc8132"/>
      <w:r>
        <w:rPr>
          <w:rFonts w:hint="eastAsia"/>
          <w:b/>
          <w:lang w:val="en-US" w:eastAsia="zh-CN"/>
        </w:rPr>
        <w:t>快递收派服务收入免征增值税政策</w:t>
      </w:r>
      <w:bookmarkEnd w:id="7"/>
    </w:p>
    <w:p>
      <w:pPr>
        <w:bidi w:val="0"/>
        <w:jc w:val="center"/>
        <w:rPr>
          <w:rFonts w:hint="eastAsia" w:ascii="黑体" w:eastAsia="黑体" w:cs="黑体"/>
          <w:sz w:val="32"/>
          <w:szCs w:val="32"/>
        </w:rPr>
      </w:pPr>
      <w:r>
        <w:rPr>
          <w:rFonts w:hint="eastAsia" w:ascii="黑体" w:eastAsia="黑体" w:cs="黑体"/>
          <w:sz w:val="32"/>
          <w:szCs w:val="32"/>
        </w:rPr>
        <w:t>财政部 税务总局关于快递收派服务免征增值税政策的公告</w:t>
      </w:r>
    </w:p>
    <w:p>
      <w:pPr>
        <w:bidi w:val="0"/>
        <w:jc w:val="center"/>
        <w:rPr>
          <w:rFonts w:hint="eastAsia" w:ascii="黑体" w:eastAsia="黑体" w:cs="黑体"/>
          <w:sz w:val="32"/>
          <w:szCs w:val="32"/>
        </w:rPr>
      </w:pPr>
      <w:r>
        <w:rPr>
          <w:rFonts w:hint="eastAsia" w:ascii="黑体" w:eastAsia="黑体" w:cs="黑体"/>
          <w:sz w:val="32"/>
          <w:szCs w:val="32"/>
          <w:lang w:val="en-US" w:eastAsia="zh-CN"/>
        </w:rPr>
        <w:t>财政部 税务总局公告2022年第18号</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现将快递收派服务免征增值税政策公告如下：</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自2022年5月1日至2022年12月31日，对纳税人为居民提供必需生活物资快递收派服务取得的收入，免征增值税。</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快递收派服务的具体范围，按照《销售服务、无形资产、不动产注释》（财税〔2016〕36号印发）执行。</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特此公告。</w:t>
      </w:r>
    </w:p>
    <w:p>
      <w:pPr>
        <w:pStyle w:val="7"/>
        <w:keepNext w:val="0"/>
        <w:keepLines w:val="0"/>
        <w:widowControl/>
        <w:suppressLineNumbers w:val="0"/>
        <w:spacing w:before="0" w:beforeAutospacing="0" w:after="0" w:afterAutospacing="0" w:line="23" w:lineRule="atLeast"/>
        <w:ind w:left="0" w:right="0" w:firstLine="420"/>
        <w:jc w:val="both"/>
      </w:pPr>
    </w:p>
    <w:p>
      <w:pPr>
        <w:pStyle w:val="7"/>
        <w:keepNext w:val="0"/>
        <w:keepLines w:val="0"/>
        <w:widowControl/>
        <w:suppressLineNumbers w:val="0"/>
        <w:spacing w:before="0" w:beforeAutospacing="0" w:after="0" w:afterAutospacing="0" w:line="23" w:lineRule="atLeast"/>
        <w:ind w:left="0" w:right="0"/>
        <w:jc w:val="right"/>
      </w:pPr>
      <w:r>
        <w:rPr>
          <w:rFonts w:hint="eastAsia" w:ascii="微软雅黑" w:eastAsia="微软雅黑" w:cs="微软雅黑"/>
          <w:color w:val="333333"/>
          <w:sz w:val="24"/>
          <w:szCs w:val="24"/>
          <w:shd w:val="clear" w:color="auto" w:fill="FFFFFF"/>
        </w:rPr>
        <w:t>财政部 税务总局</w:t>
      </w:r>
    </w:p>
    <w:p>
      <w:pPr>
        <w:pStyle w:val="7"/>
        <w:keepNext w:val="0"/>
        <w:keepLines w:val="0"/>
        <w:widowControl/>
        <w:suppressLineNumbers w:val="0"/>
        <w:spacing w:before="0" w:beforeAutospacing="0" w:after="0" w:afterAutospacing="0" w:line="23" w:lineRule="atLeast"/>
        <w:ind w:left="0" w:right="0"/>
        <w:jc w:val="right"/>
        <w:rPr>
          <w:lang w:val="en-US" w:eastAsia="zh-CN"/>
        </w:rPr>
      </w:pPr>
      <w:r>
        <w:rPr>
          <w:rFonts w:hint="eastAsia" w:ascii="微软雅黑" w:eastAsia="微软雅黑" w:cs="微软雅黑"/>
          <w:color w:val="333333"/>
          <w:sz w:val="24"/>
          <w:szCs w:val="24"/>
          <w:shd w:val="clear" w:color="auto" w:fill="FFFFFF"/>
        </w:rPr>
        <w:t>2022年4月29日</w:t>
      </w:r>
    </w:p>
    <w:p>
      <w:pPr>
        <w:pStyle w:val="3"/>
        <w:numPr>
          <w:ilvl w:val="0"/>
          <w:numId w:val="1"/>
        </w:numPr>
        <w:bidi w:val="0"/>
        <w:outlineLvl w:val="0"/>
        <w:rPr>
          <w:b/>
          <w:lang w:val="en-US" w:eastAsia="zh-CN"/>
        </w:rPr>
      </w:pPr>
      <w:bookmarkStart w:id="8" w:name="_Toc17535"/>
      <w:r>
        <w:rPr>
          <w:rFonts w:hint="eastAsia"/>
          <w:b/>
          <w:lang w:val="en-US" w:eastAsia="zh-CN"/>
        </w:rPr>
        <w:t>减征部分乘用车车辆购置税政策</w:t>
      </w:r>
      <w:bookmarkEnd w:id="8"/>
    </w:p>
    <w:p>
      <w:pPr>
        <w:bidi w:val="0"/>
        <w:jc w:val="center"/>
        <w:rPr>
          <w:rFonts w:hint="eastAsia" w:ascii="黑体" w:eastAsia="黑体" w:cs="黑体"/>
          <w:sz w:val="32"/>
          <w:szCs w:val="32"/>
        </w:rPr>
      </w:pPr>
      <w:r>
        <w:rPr>
          <w:rFonts w:hint="eastAsia" w:ascii="黑体" w:eastAsia="黑体" w:cs="黑体"/>
          <w:sz w:val="32"/>
          <w:szCs w:val="32"/>
        </w:rPr>
        <w:t>财政部 税务总局关于减征部分乘用车车辆购置税的公告</w:t>
      </w:r>
    </w:p>
    <w:p>
      <w:pPr>
        <w:bidi w:val="0"/>
        <w:jc w:val="center"/>
        <w:rPr>
          <w:rFonts w:hint="eastAsia" w:ascii="黑体" w:eastAsia="黑体" w:cs="黑体"/>
          <w:sz w:val="32"/>
          <w:szCs w:val="32"/>
        </w:rPr>
      </w:pPr>
      <w:r>
        <w:rPr>
          <w:rFonts w:hint="eastAsia" w:ascii="黑体" w:eastAsia="黑体" w:cs="黑体"/>
          <w:sz w:val="32"/>
          <w:szCs w:val="32"/>
          <w:lang w:val="en-US" w:eastAsia="zh-CN"/>
        </w:rPr>
        <w:t>财政部 税务总局公告2022年第20号</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为促进汽车消费，支持汽车产业发展，现就减征部分乘用车车辆购置税有关政策公告如下：</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一、对购置日期在2022年6月1日至2022年12月31日期间内且单车价格（不含增值税）不超过30万元的2.0升及以下排量乘用车，减半征收车辆购置税。</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二、本公告所称乘用车，是指在设计、制造和技术特性上主要用于载运乘客及其随身行李和（或）临时物品，包括驾驶员座位在内最多不超过9个座位的汽车。</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三、本公告所称单车价格，以车辆购置税应税车辆的计税价格为准。</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四、乘用车购置日期按照机动车销售统一发票或海关关税专用缴款书等有效凭证的开具日期确定。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五、乘用车排量、座位数，按照《中华人民共和国机动车整车出厂合格证》电子信息或者进口机动车《车辆电子信息单》电子信息所载的排量、额定载客（人）数确定。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特此公告。</w:t>
      </w:r>
    </w:p>
    <w:p>
      <w:pPr>
        <w:pStyle w:val="7"/>
        <w:keepNext w:val="0"/>
        <w:keepLines w:val="0"/>
        <w:widowControl/>
        <w:suppressLineNumbers w:val="0"/>
        <w:spacing w:before="0" w:beforeAutospacing="0" w:after="0" w:afterAutospacing="0" w:line="23" w:lineRule="atLeast"/>
        <w:ind w:left="0" w:right="0" w:firstLine="420"/>
        <w:jc w:val="both"/>
      </w:pPr>
    </w:p>
    <w:p>
      <w:pPr>
        <w:pStyle w:val="7"/>
        <w:keepNext w:val="0"/>
        <w:keepLines w:val="0"/>
        <w:widowControl/>
        <w:suppressLineNumbers w:val="0"/>
        <w:spacing w:before="0" w:beforeAutospacing="0" w:after="0" w:afterAutospacing="0" w:line="23" w:lineRule="atLeast"/>
        <w:ind w:left="0" w:right="0" w:firstLine="420"/>
        <w:jc w:val="both"/>
      </w:pPr>
    </w:p>
    <w:p>
      <w:pPr>
        <w:pStyle w:val="7"/>
        <w:keepNext w:val="0"/>
        <w:keepLines w:val="0"/>
        <w:widowControl/>
        <w:suppressLineNumbers w:val="0"/>
        <w:spacing w:before="0" w:beforeAutospacing="0" w:after="0" w:afterAutospacing="0" w:line="23" w:lineRule="atLeast"/>
        <w:ind w:left="0" w:right="0" w:firstLine="420"/>
        <w:jc w:val="right"/>
      </w:pPr>
      <w:r>
        <w:rPr>
          <w:rFonts w:hint="eastAsia" w:ascii="微软雅黑" w:eastAsia="微软雅黑" w:cs="微软雅黑"/>
          <w:color w:val="333333"/>
          <w:sz w:val="24"/>
          <w:szCs w:val="24"/>
          <w:shd w:val="clear" w:color="auto" w:fill="FFFFFF"/>
        </w:rPr>
        <w:t>财政部 税务总局</w:t>
      </w:r>
    </w:p>
    <w:p>
      <w:pPr>
        <w:pStyle w:val="7"/>
        <w:keepNext w:val="0"/>
        <w:keepLines w:val="0"/>
        <w:widowControl/>
        <w:suppressLineNumbers w:val="0"/>
        <w:spacing w:before="0" w:beforeAutospacing="0" w:after="0" w:afterAutospacing="0" w:line="23" w:lineRule="atLeast"/>
        <w:ind w:left="0" w:right="0" w:firstLine="420"/>
        <w:jc w:val="right"/>
      </w:pPr>
      <w:r>
        <w:rPr>
          <w:rFonts w:hint="eastAsia" w:ascii="微软雅黑" w:eastAsia="微软雅黑" w:cs="微软雅黑"/>
          <w:color w:val="333333"/>
          <w:sz w:val="24"/>
          <w:szCs w:val="24"/>
          <w:shd w:val="clear" w:color="auto" w:fill="FFFFFF"/>
        </w:rPr>
        <w:t>2022年5月31日</w:t>
      </w:r>
    </w:p>
    <w:p>
      <w:pPr>
        <w:rPr>
          <w:lang w:val="en-US" w:eastAsia="zh-CN"/>
        </w:rPr>
      </w:pPr>
    </w:p>
    <w:p>
      <w:pPr>
        <w:rPr>
          <w:lang w:val="en-US" w:eastAsia="zh-CN"/>
        </w:rPr>
      </w:pPr>
    </w:p>
    <w:p>
      <w:pPr>
        <w:pStyle w:val="3"/>
        <w:numPr>
          <w:ilvl w:val="0"/>
          <w:numId w:val="1"/>
        </w:numPr>
        <w:bidi w:val="0"/>
        <w:outlineLvl w:val="0"/>
        <w:rPr>
          <w:b/>
          <w:lang w:val="en-US" w:eastAsia="zh-CN"/>
        </w:rPr>
      </w:pPr>
      <w:bookmarkStart w:id="9" w:name="_Toc28269"/>
      <w:r>
        <w:rPr>
          <w:rFonts w:hint="eastAsia"/>
          <w:b/>
          <w:lang w:val="en-US" w:eastAsia="zh-CN"/>
        </w:rPr>
        <w:t>小微企业“六税两费”减免政策</w:t>
      </w:r>
      <w:bookmarkEnd w:id="9"/>
    </w:p>
    <w:p>
      <w:pPr>
        <w:bidi w:val="0"/>
        <w:jc w:val="center"/>
        <w:rPr>
          <w:rFonts w:hint="eastAsia" w:ascii="黑体" w:eastAsia="黑体" w:cs="黑体"/>
          <w:sz w:val="32"/>
          <w:szCs w:val="32"/>
        </w:rPr>
      </w:pPr>
      <w:r>
        <w:rPr>
          <w:rFonts w:hint="eastAsia" w:ascii="黑体" w:eastAsia="黑体" w:cs="黑体"/>
          <w:sz w:val="32"/>
          <w:szCs w:val="32"/>
        </w:rPr>
        <w:t>财政部 税务总局关于进一步实施小微企业“六税两费”减免政策的公告</w:t>
      </w:r>
    </w:p>
    <w:p>
      <w:pPr>
        <w:bidi w:val="0"/>
        <w:jc w:val="center"/>
        <w:rPr>
          <w:rFonts w:hint="eastAsia" w:ascii="黑体" w:eastAsia="黑体" w:cs="黑体"/>
          <w:sz w:val="32"/>
          <w:szCs w:val="32"/>
        </w:rPr>
      </w:pPr>
      <w:r>
        <w:rPr>
          <w:rFonts w:hint="eastAsia" w:ascii="黑体" w:eastAsia="黑体" w:cs="黑体"/>
          <w:sz w:val="32"/>
          <w:szCs w:val="32"/>
          <w:lang w:val="en-US" w:eastAsia="zh-CN"/>
        </w:rPr>
        <w:t>财政部 税务总局公告2022年第10号</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为进一步支持小微企业发展，现将有关税费政策公告如下：</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一、由省、自治区、直辖市人民政府根据本地区实际情况，以及宏观调控需要确定，对增值税小规模纳税人、小型微利企业和个体工商户可以在50%的税额幅度内减征资源税、城市维护建设税、房产税、城镇土地使用税、印花税（不含证券交易印花税）、耕地占用税和教育费附加、地方教育附加。</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二、增值税小规模纳税人、小型微利企业和个体工商户已依法享受资源税、城市维护建设税、房产税、城镇土地使用税、印花税、耕地占用税、教育费附加、地方教育附加其他优惠政策的，可叠加享受本公告第一条规定的优惠政策。</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三、本公告所称小型微利企业，是指从事国家非限制和禁止行业，且同时符合年度应纳税所得额不超过300万元、从业人数不超过300人、资产总额不超过5000万元等三个条件的企业。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从业人数，包括与企业建立劳动关系的职工人数和企业接受的劳务派遣用工人数。所称从业人数和资产总额指标，应按企业全年的季度平均值确定。具体计算公式如下：</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季度平均值＝（季初值＋季末值）÷2</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全年季度平均值＝全年各季度平均值之和÷4</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年度中间开业或者终止经营活动的，以其实际经营期作为一个纳税年度确定上述相关指标。</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小型微利企业的判定以企业所得税年度汇算清缴结果为准。登记为增值税一般纳税人的新设立的企业，从事国家非限制和禁止行业，且同时符合申报期上月末从业人数不超过300人、资产总额不超过5000万元等两个条件的，可在首次办理汇算清缴前按照小型微利企业申报享受第一条规定的优惠政策。</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四、本公告执行期限为2022年1月1日至2024年12月31日。</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特此公告。</w:t>
      </w:r>
    </w:p>
    <w:p>
      <w:pPr>
        <w:pStyle w:val="7"/>
        <w:keepNext w:val="0"/>
        <w:keepLines w:val="0"/>
        <w:widowControl/>
        <w:suppressLineNumbers w:val="0"/>
        <w:spacing w:before="0" w:beforeAutospacing="0" w:after="0" w:afterAutospacing="0" w:line="23" w:lineRule="atLeast"/>
        <w:ind w:left="0" w:right="0" w:firstLine="420"/>
        <w:jc w:val="both"/>
      </w:pPr>
    </w:p>
    <w:p>
      <w:pPr>
        <w:pStyle w:val="7"/>
        <w:keepNext w:val="0"/>
        <w:keepLines w:val="0"/>
        <w:widowControl/>
        <w:suppressLineNumbers w:val="0"/>
        <w:spacing w:before="0" w:beforeAutospacing="0" w:after="0" w:afterAutospacing="0" w:line="23" w:lineRule="atLeast"/>
        <w:ind w:left="0" w:right="0" w:firstLine="420"/>
        <w:jc w:val="right"/>
      </w:pPr>
      <w:r>
        <w:rPr>
          <w:rFonts w:hint="eastAsia" w:ascii="微软雅黑" w:eastAsia="微软雅黑" w:cs="微软雅黑"/>
          <w:color w:val="333333"/>
          <w:sz w:val="24"/>
          <w:szCs w:val="24"/>
          <w:shd w:val="clear" w:color="auto" w:fill="FFFFFF"/>
        </w:rPr>
        <w:t>财政部 税务总局</w:t>
      </w:r>
    </w:p>
    <w:p>
      <w:pPr>
        <w:pStyle w:val="7"/>
        <w:keepNext w:val="0"/>
        <w:keepLines w:val="0"/>
        <w:widowControl/>
        <w:suppressLineNumbers w:val="0"/>
        <w:spacing w:before="0" w:beforeAutospacing="0" w:after="0" w:afterAutospacing="0" w:line="23" w:lineRule="atLeast"/>
        <w:ind w:left="0" w:right="0" w:firstLine="420"/>
        <w:jc w:val="right"/>
      </w:pPr>
      <w:r>
        <w:rPr>
          <w:rFonts w:hint="eastAsia" w:ascii="微软雅黑" w:eastAsia="微软雅黑" w:cs="微软雅黑"/>
          <w:color w:val="333333"/>
          <w:sz w:val="24"/>
          <w:szCs w:val="24"/>
          <w:shd w:val="clear" w:color="auto" w:fill="FFFFFF"/>
        </w:rPr>
        <w:t>2022年3月1日</w:t>
      </w:r>
    </w:p>
    <w:p>
      <w:pPr>
        <w:rPr>
          <w:lang w:val="en-US" w:eastAsia="zh-CN"/>
        </w:rPr>
      </w:pPr>
    </w:p>
    <w:p>
      <w:pPr>
        <w:pStyle w:val="3"/>
        <w:numPr>
          <w:ilvl w:val="0"/>
          <w:numId w:val="1"/>
        </w:numPr>
        <w:bidi w:val="0"/>
        <w:outlineLvl w:val="0"/>
        <w:rPr>
          <w:b/>
          <w:lang w:val="en-US" w:eastAsia="zh-CN"/>
        </w:rPr>
      </w:pPr>
      <w:bookmarkStart w:id="10" w:name="_Toc29042"/>
      <w:r>
        <w:rPr>
          <w:rFonts w:hint="eastAsia"/>
          <w:b/>
          <w:lang w:val="en-US" w:eastAsia="zh-CN"/>
        </w:rPr>
        <w:t>小型微利企业减免企业所得税政策</w:t>
      </w:r>
      <w:bookmarkEnd w:id="10"/>
    </w:p>
    <w:p>
      <w:pPr>
        <w:bidi w:val="0"/>
        <w:jc w:val="center"/>
        <w:rPr>
          <w:rFonts w:hint="eastAsia" w:ascii="黑体" w:eastAsia="黑体" w:cs="黑体"/>
          <w:sz w:val="32"/>
          <w:szCs w:val="32"/>
        </w:rPr>
      </w:pPr>
      <w:r>
        <w:rPr>
          <w:rFonts w:hint="eastAsia" w:ascii="黑体" w:eastAsia="黑体" w:cs="黑体"/>
          <w:sz w:val="32"/>
          <w:szCs w:val="32"/>
        </w:rPr>
        <w:t>财政部 税务总局关于进一步实施小微企业所得税优惠政策的公告</w:t>
      </w:r>
    </w:p>
    <w:p>
      <w:pPr>
        <w:bidi w:val="0"/>
        <w:jc w:val="center"/>
        <w:rPr>
          <w:rFonts w:hint="eastAsia" w:ascii="黑体" w:eastAsia="黑体" w:cs="黑体"/>
          <w:sz w:val="32"/>
          <w:szCs w:val="32"/>
        </w:rPr>
      </w:pPr>
      <w:r>
        <w:rPr>
          <w:rFonts w:hint="eastAsia" w:ascii="黑体" w:eastAsia="黑体" w:cs="黑体"/>
          <w:sz w:val="32"/>
          <w:szCs w:val="32"/>
          <w:lang w:val="en-US" w:eastAsia="zh-CN"/>
        </w:rPr>
        <w:t>财政部 税务总局公告2022年第13号</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为进一步支持小微企业发展，现将有关税收政策公告如下：</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一、对小型微利企业年应纳税所得额超过100万元但不超过300万元的部分，减按25%计入应纳税所得额，按20%的税率缴纳企业所得税。</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二、本公告所称小型微利企业，是指从事国家非限制和禁止行业，且同时符合年度应纳税所得额不超过300万元、从业人数不超过300人、资产总额不超过5000万元等三个条件的企业。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从业人数，包括与企业建立劳动关系的职工人数和企业接受的劳务派遣用工人数。所称从业人数和资产总额指标，应按企业全年的季度平均值确定。具体计算公式如下：</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季度平均值＝（季初值＋季末值）÷2</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全年季度平均值＝全年各季度平均值之和÷4</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年度中间开业或者终止经营活动的，以其实际经营期作为一个纳税年度确定上述相关指标。</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三、本公告执行期限为2022年1月1日至2024年12月31日。</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特此公告。</w:t>
      </w:r>
    </w:p>
    <w:p>
      <w:pPr>
        <w:pStyle w:val="7"/>
        <w:keepNext w:val="0"/>
        <w:keepLines w:val="0"/>
        <w:widowControl/>
        <w:suppressLineNumbers w:val="0"/>
        <w:spacing w:before="0" w:beforeAutospacing="0" w:after="0" w:afterAutospacing="0" w:line="23" w:lineRule="atLeast"/>
        <w:ind w:left="0" w:right="0"/>
        <w:jc w:val="right"/>
      </w:pPr>
      <w:r>
        <w:rPr>
          <w:rFonts w:hint="eastAsia" w:ascii="微软雅黑" w:eastAsia="微软雅黑" w:cs="微软雅黑"/>
          <w:color w:val="333333"/>
          <w:sz w:val="24"/>
          <w:szCs w:val="24"/>
          <w:shd w:val="clear" w:color="auto" w:fill="FFFFFF"/>
        </w:rPr>
        <w:t>财政部 税务总局</w:t>
      </w:r>
    </w:p>
    <w:p>
      <w:pPr>
        <w:pStyle w:val="7"/>
        <w:keepNext w:val="0"/>
        <w:keepLines w:val="0"/>
        <w:widowControl/>
        <w:suppressLineNumbers w:val="0"/>
        <w:spacing w:before="0" w:beforeAutospacing="0" w:after="0" w:afterAutospacing="0" w:line="23" w:lineRule="atLeast"/>
        <w:ind w:left="0" w:right="0"/>
        <w:jc w:val="right"/>
      </w:pPr>
      <w:r>
        <w:rPr>
          <w:rFonts w:hint="eastAsia" w:ascii="微软雅黑" w:eastAsia="微软雅黑" w:cs="微软雅黑"/>
          <w:color w:val="333333"/>
          <w:sz w:val="24"/>
          <w:szCs w:val="24"/>
          <w:shd w:val="clear" w:color="auto" w:fill="FFFFFF"/>
        </w:rPr>
        <w:t>2022年3月14日</w:t>
      </w:r>
    </w:p>
    <w:p>
      <w:pPr>
        <w:rPr>
          <w:lang w:val="en-US" w:eastAsia="zh-CN"/>
        </w:rPr>
      </w:pPr>
    </w:p>
    <w:p>
      <w:pPr>
        <w:pStyle w:val="3"/>
        <w:numPr>
          <w:ilvl w:val="0"/>
          <w:numId w:val="1"/>
        </w:numPr>
        <w:bidi w:val="0"/>
        <w:outlineLvl w:val="0"/>
        <w:rPr>
          <w:b/>
          <w:lang w:val="en-US" w:eastAsia="zh-CN"/>
        </w:rPr>
      </w:pPr>
      <w:bookmarkStart w:id="11" w:name="_Toc19048"/>
      <w:r>
        <w:rPr>
          <w:rFonts w:hint="eastAsia"/>
          <w:b/>
          <w:lang w:val="en-US" w:eastAsia="zh-CN"/>
        </w:rPr>
        <w:t>制造业中小微企业延缓缴纳部分税费政策</w:t>
      </w:r>
      <w:bookmarkEnd w:id="11"/>
    </w:p>
    <w:p>
      <w:pPr>
        <w:bidi w:val="0"/>
        <w:jc w:val="center"/>
        <w:rPr>
          <w:rFonts w:hint="eastAsia" w:ascii="黑体" w:eastAsia="黑体" w:cs="黑体"/>
          <w:sz w:val="32"/>
          <w:szCs w:val="32"/>
        </w:rPr>
      </w:pPr>
      <w:r>
        <w:rPr>
          <w:rFonts w:hint="eastAsia" w:ascii="黑体" w:eastAsia="黑体" w:cs="黑体"/>
          <w:sz w:val="32"/>
          <w:szCs w:val="32"/>
        </w:rPr>
        <w:t>国家税务总局 财政部关于延续实施制造业中小微企业延缓缴纳部分税费有关事项的公告</w:t>
      </w:r>
    </w:p>
    <w:p>
      <w:pPr>
        <w:bidi w:val="0"/>
        <w:jc w:val="center"/>
        <w:rPr>
          <w:rFonts w:hint="eastAsia" w:ascii="黑体" w:eastAsia="黑体" w:cs="黑体"/>
          <w:sz w:val="32"/>
          <w:szCs w:val="32"/>
        </w:rPr>
      </w:pPr>
      <w:r>
        <w:rPr>
          <w:rFonts w:hint="eastAsia" w:ascii="黑体" w:eastAsia="黑体" w:cs="黑体"/>
          <w:sz w:val="32"/>
          <w:szCs w:val="32"/>
          <w:lang w:val="en-US" w:eastAsia="zh-CN"/>
        </w:rPr>
        <w:t>国家税务总局公告2022年第2号</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为贯彻落实党中央、国务院决策部署，促进工业经济平稳增长，支持制造业中小微企业发展，现将延续实施制造业中小微企业（含个人独资企业、合伙企业、个体工商户，下同）延缓缴纳部分税费政策有关事项公告如下：</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b/>
          <w:bCs/>
          <w:color w:val="333333"/>
          <w:sz w:val="24"/>
          <w:szCs w:val="24"/>
          <w:shd w:val="clear" w:color="auto" w:fill="FFFFFF"/>
        </w:rPr>
        <w:t>一、继续延缓缴纳2021年第四季度部分税费</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《国家税务总局 财政部关于制造业中小微企业延缓缴纳2021年第四季度部分税费有关事项的公告》（2021年第30号）规定的制造业中小微企业延缓缴纳2021年第四季度部分税费政策，缓缴期限继续延长6个月。</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上述企业2021年第四季度延缓缴纳的税费在2022年1月1日后本公告施行前已缴纳入库的，可自愿选择申请办理退税（费）并享受延续缓缴政策。</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b/>
          <w:bCs/>
          <w:color w:val="333333"/>
          <w:sz w:val="24"/>
          <w:szCs w:val="24"/>
          <w:shd w:val="clear" w:color="auto" w:fill="FFFFFF"/>
        </w:rPr>
        <w:t>二、延缓缴纳2022年第一季度、第二季度部分税费</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一）符合本公告规定条件的制造业中小微企业，在依法办理纳税申报后，制造业中型企业可以延缓缴纳本公告规定的各项税费金额的50%，制造业小微企业可以延缓缴纳本公告规定的全部税费，延缓的期限为6个月。延缓期限届满，纳税人应依法缴纳相应月份或者季度的税费。</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二）本公告所称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销售额是指应征增值税销售额，包括纳税申报销售额、稽查查补销售额、纳税评估调整销售额。适用增值税差额征税政策的，以差额后的销售额确定。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（三）前款所称制造业中小微企业年销售额按以下方式确定：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截至2021年12月31日成立满一年的企业，按照所属期为2021年1月至2021年12月的销售额确定。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截至2021年12月31日成立不满一年的企业，按照所属期截至2021年12月31日的销售额/实际经营月份×12个月的销售额确定。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2022年1月1日及以后成立的企业，按照实际申报期销售额/实际经营月份×12个月的销售额确定。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四）延缓缴纳的税费包括所属期为2022年1月、2月、3月、4月、5月、6月（按月缴纳）或者2022年第一季度、第二季度（按季缴纳）的企业所得税、个人所得税、国内增值税、国内消费税及附征的城市维护建设税、教育费附加、地方教育附加，不包括代扣代缴、代收代缴以及向税务机关申请代开发票时缴纳的税费。</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对于在本公告施行前已缴纳入库的所属期为2022年1月的上述税费，企业可自愿选择申请办理退税（费）并享受缓缴政策。</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三、享受2021年第四季度缓缴企业所得税政策的制造业中小微企业，在办理2021年度企业所得税汇算清缴年度申报时，产生的应补税款与2021年第四季度已缓缴的税款一并延后缴纳入库，产生的应退税款由纳税人按照有关规定办理。</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四、纳税人不符合本公告规定条件，骗取享受缓缴税费政策的，税务机关将依照《中华人民共和国税收征收管理法》及其实施细则等有关规定严肃处理。</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五、符合本公告规定条件的制造业中小微企业，符合《中华人民共和国税收征收管理法》及其实施细则规定可以申请延期缴纳税款的，仍然可以依法申请办理延期缴纳税款。</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六、本公告自发布之日起施行。</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特此公告。</w:t>
      </w:r>
    </w:p>
    <w:p>
      <w:pPr>
        <w:pStyle w:val="7"/>
        <w:keepNext w:val="0"/>
        <w:keepLines w:val="0"/>
        <w:widowControl/>
        <w:suppressLineNumbers w:val="0"/>
        <w:spacing w:before="0" w:beforeAutospacing="0" w:after="0" w:afterAutospacing="0" w:line="23" w:lineRule="atLeast"/>
        <w:ind w:left="0" w:right="0"/>
        <w:jc w:val="right"/>
      </w:pPr>
      <w:r>
        <w:rPr>
          <w:rFonts w:hint="eastAsia" w:ascii="微软雅黑" w:eastAsia="微软雅黑" w:cs="微软雅黑"/>
          <w:color w:val="333333"/>
          <w:sz w:val="24"/>
          <w:szCs w:val="24"/>
          <w:shd w:val="clear" w:color="auto" w:fill="FFFFFF"/>
        </w:rPr>
        <w:t>国家税务总局　财政部</w:t>
      </w:r>
    </w:p>
    <w:p>
      <w:pPr>
        <w:pStyle w:val="7"/>
        <w:keepNext w:val="0"/>
        <w:keepLines w:val="0"/>
        <w:widowControl/>
        <w:suppressLineNumbers w:val="0"/>
        <w:spacing w:before="0" w:beforeAutospacing="0" w:after="0" w:afterAutospacing="0" w:line="23" w:lineRule="atLeast"/>
        <w:ind w:left="0" w:right="0"/>
        <w:jc w:val="right"/>
      </w:pPr>
      <w:r>
        <w:rPr>
          <w:rFonts w:hint="eastAsia" w:ascii="微软雅黑" w:eastAsia="微软雅黑" w:cs="微软雅黑"/>
          <w:color w:val="333333"/>
          <w:sz w:val="24"/>
          <w:szCs w:val="24"/>
          <w:shd w:val="clear" w:color="auto" w:fill="FFFFFF"/>
        </w:rPr>
        <w:t>2022年2月28日</w:t>
      </w:r>
    </w:p>
    <w:p>
      <w:pPr>
        <w:rPr>
          <w:lang w:val="en-US" w:eastAsia="zh-CN"/>
        </w:rPr>
      </w:pPr>
    </w:p>
    <w:p>
      <w:pPr>
        <w:pStyle w:val="3"/>
        <w:numPr>
          <w:ilvl w:val="0"/>
          <w:numId w:val="1"/>
        </w:numPr>
        <w:bidi w:val="0"/>
        <w:outlineLvl w:val="0"/>
        <w:rPr>
          <w:b/>
          <w:lang w:val="en-US" w:eastAsia="zh-CN"/>
        </w:rPr>
      </w:pPr>
      <w:bookmarkStart w:id="12" w:name="_Toc11303"/>
      <w:r>
        <w:rPr>
          <w:rFonts w:hint="eastAsia"/>
          <w:b/>
          <w:lang w:val="en-US" w:eastAsia="zh-CN"/>
        </w:rPr>
        <w:t>阶段性缓缴企业社会保险费政策</w:t>
      </w:r>
      <w:bookmarkEnd w:id="12"/>
    </w:p>
    <w:p>
      <w:pPr>
        <w:bidi w:val="0"/>
        <w:jc w:val="center"/>
        <w:rPr>
          <w:rFonts w:hint="eastAsia" w:ascii="黑体" w:eastAsia="黑体" w:cs="黑体"/>
          <w:sz w:val="32"/>
          <w:szCs w:val="32"/>
        </w:rPr>
      </w:pPr>
      <w:r>
        <w:rPr>
          <w:rFonts w:hint="eastAsia" w:ascii="黑体" w:eastAsia="黑体" w:cs="黑体"/>
          <w:sz w:val="32"/>
          <w:szCs w:val="32"/>
        </w:rPr>
        <w:t>人力资源和社会保障部 财政部 国家税务总局关于做好失业保险稳岗位提技能防失业工作的通知</w:t>
      </w:r>
    </w:p>
    <w:p>
      <w:pPr>
        <w:bidi w:val="0"/>
        <w:jc w:val="center"/>
        <w:rPr>
          <w:rFonts w:hint="eastAsia" w:ascii="黑体" w:eastAsia="黑体" w:cs="黑体"/>
          <w:sz w:val="32"/>
          <w:szCs w:val="32"/>
        </w:rPr>
      </w:pPr>
      <w:r>
        <w:rPr>
          <w:rFonts w:hint="eastAsia" w:ascii="黑体" w:eastAsia="黑体" w:cs="黑体"/>
          <w:sz w:val="32"/>
          <w:szCs w:val="32"/>
          <w:lang w:val="en-US" w:eastAsia="zh-CN"/>
        </w:rPr>
        <w:t>人社部发〔2022〕23号</w:t>
      </w:r>
    </w:p>
    <w:p>
      <w:pPr>
        <w:pStyle w:val="7"/>
        <w:keepNext w:val="0"/>
        <w:keepLines w:val="0"/>
        <w:widowControl/>
        <w:suppressLineNumbers w:val="0"/>
        <w:spacing w:before="0" w:beforeAutospacing="0" w:after="0" w:afterAutospacing="0" w:line="23" w:lineRule="atLeast"/>
        <w:ind w:left="0" w:right="0"/>
        <w:jc w:val="both"/>
      </w:pPr>
      <w:r>
        <w:rPr>
          <w:rFonts w:hint="eastAsia" w:ascii="微软雅黑" w:eastAsia="微软雅黑" w:cs="微软雅黑"/>
          <w:color w:val="333333"/>
          <w:sz w:val="24"/>
          <w:szCs w:val="24"/>
          <w:shd w:val="clear" w:color="auto" w:fill="FFFFFF"/>
        </w:rPr>
        <w:t>各省、自治区、直辖市人民政府，新疆生产建设兵团：</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为贯彻落实2022年《政府工作报告》部署，充分发挥失业保险保生活、防失业、促就业功能作用，助力稳就业保民生，经国务院同意，现就有关事项通知如下：</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b/>
          <w:bCs/>
          <w:color w:val="333333"/>
          <w:sz w:val="24"/>
          <w:szCs w:val="24"/>
          <w:shd w:val="clear" w:color="auto" w:fill="FFFFFF"/>
        </w:rPr>
        <w:t>一、继续实施失业保险稳岗返还政策。</w:t>
      </w:r>
      <w:r>
        <w:rPr>
          <w:rFonts w:hint="eastAsia" w:ascii="微软雅黑" w:eastAsia="微软雅黑" w:cs="微软雅黑"/>
          <w:color w:val="333333"/>
          <w:sz w:val="24"/>
          <w:szCs w:val="24"/>
          <w:shd w:val="clear" w:color="auto" w:fill="FFFFFF"/>
        </w:rPr>
        <w:t>参保企业上年度未裁员或裁员率不高于上年度全国城镇调查失业率控制目标，30人（含）以下的参保企业裁员率不高于参保职工总数20%的，可以申请失业保险稳岗返还。大型企业仍按不超过企业及其职工上年度实际缴纳失业保险费的30%返还，中小微企业返还比例从60%最高提至90%。社会团体、基金会、社会服务机构、律师事务所、会计师事务所、以单位形式参保的个体工商户参照实施。实施上述稳岗返还政策的统筹地区，上年度失业保险基金滚存结余备付期限应在1年以上。上述政策执行期限至2022年12月31日。各地要大力推广通过后台数据比对精准发放的“免申即享”经办新模式，进一步畅通资金返还渠道，对没有对公账户的小微企业，可将资金直接返还至当地税务部门提供的其缴纳社会保险费的账户。</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b/>
          <w:bCs/>
          <w:color w:val="333333"/>
          <w:sz w:val="24"/>
          <w:szCs w:val="24"/>
          <w:shd w:val="clear" w:color="auto" w:fill="FFFFFF"/>
        </w:rPr>
        <w:t>二、拓宽技能提升补贴受益范围。</w:t>
      </w:r>
      <w:r>
        <w:rPr>
          <w:rFonts w:hint="eastAsia" w:ascii="微软雅黑" w:eastAsia="微软雅黑" w:cs="微软雅黑"/>
          <w:color w:val="333333"/>
          <w:sz w:val="24"/>
          <w:szCs w:val="24"/>
          <w:shd w:val="clear" w:color="auto" w:fill="FFFFFF"/>
        </w:rPr>
        <w:t>领取失业保险金人员取得职业资格证书或职业技能等级证书的，可按照初级（五级）不超过1000元、中级（四级）不超过1500元、高级（三级）不超过2000元的标准申请技能提升补贴。参保职工取得职业资格证书或职业技能等级证书的，可按规定申请技能提升补贴；技能提升补贴申领条件，继续放宽至企业在职职工参加失业保险1年以上。每人每年享受补贴次数最多不超过三次。上述政策执行期限至2022年12月31日。</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b/>
          <w:bCs/>
          <w:color w:val="333333"/>
          <w:sz w:val="24"/>
          <w:szCs w:val="24"/>
          <w:shd w:val="clear" w:color="auto" w:fill="FFFFFF"/>
        </w:rPr>
        <w:t>三、继续实施职业培训补贴政策。</w:t>
      </w:r>
      <w:r>
        <w:rPr>
          <w:rFonts w:hint="eastAsia" w:ascii="微软雅黑" w:eastAsia="微软雅黑" w:cs="微软雅黑"/>
          <w:color w:val="333333"/>
          <w:sz w:val="24"/>
          <w:szCs w:val="24"/>
          <w:shd w:val="clear" w:color="auto" w:fill="FFFFFF"/>
        </w:rPr>
        <w:t>对领取失业保险金期间接受职业培训的失业人员，按规定发放职业培训补贴。</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b/>
          <w:bCs/>
          <w:color w:val="333333"/>
          <w:sz w:val="24"/>
          <w:szCs w:val="24"/>
          <w:shd w:val="clear" w:color="auto" w:fill="FFFFFF"/>
        </w:rPr>
        <w:t>四、继续实施东部7省（市）扩大失业保险基金支出范围试点政策。</w:t>
      </w:r>
      <w:r>
        <w:rPr>
          <w:rFonts w:hint="eastAsia" w:ascii="微软雅黑" w:eastAsia="微软雅黑" w:cs="微软雅黑"/>
          <w:color w:val="333333"/>
          <w:sz w:val="24"/>
          <w:szCs w:val="24"/>
          <w:shd w:val="clear" w:color="auto" w:fill="FFFFFF"/>
        </w:rPr>
        <w:t>北京市、上海市、江苏省、浙江省、福建省、山东省和广东省，可继续将失业保险基金用于支持参加失业保险且符合就业补助资金申领条件人员和单位的职业培训补贴、职业技能鉴定补贴、岗位补贴和社会保险补贴等四项支出。实施上述政策的统筹地区，上年度失业保险基金滚存结余备付期限应在2年以上。</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b/>
          <w:bCs/>
          <w:color w:val="333333"/>
          <w:sz w:val="24"/>
          <w:szCs w:val="24"/>
          <w:shd w:val="clear" w:color="auto" w:fill="FFFFFF"/>
        </w:rPr>
        <w:t>五、发放一次性留工培训补助。</w:t>
      </w:r>
      <w:r>
        <w:rPr>
          <w:rFonts w:hint="eastAsia" w:ascii="微软雅黑" w:eastAsia="微软雅黑" w:cs="微软雅黑"/>
          <w:color w:val="333333"/>
          <w:sz w:val="24"/>
          <w:szCs w:val="24"/>
          <w:shd w:val="clear" w:color="auto" w:fill="FFFFFF"/>
        </w:rPr>
        <w:t>2022年1月1日至12月31日，累计出现1个（含）以上中高风险疫情地区的市（地、州、盟）、县（市、区、旗），可对因新冠感染疫情严重影响暂时无法正常生产经营的中小微企业，按每名参保职工不超过500元的标准发放一次性留工培训</w:t>
      </w:r>
      <w:bookmarkStart w:id="13" w:name="_GoBack"/>
      <w:bookmarkEnd w:id="13"/>
      <w:r>
        <w:rPr>
          <w:rFonts w:hint="eastAsia" w:ascii="微软雅黑" w:eastAsia="微软雅黑" w:cs="微软雅黑"/>
          <w:color w:val="333333"/>
          <w:sz w:val="24"/>
          <w:szCs w:val="24"/>
          <w:shd w:val="clear" w:color="auto" w:fill="FFFFFF"/>
        </w:rPr>
        <w:t>补助，支持企业组织职工以工作代替培训。社会团体、基金会、社会服务机构、律师事务所、会计师事务所、以单位形式参保的个体工商户参照实施。社会保险经办机构可通过大数据比对，按照该企业参加失业保险人数直接发放补助，无需企业提供培训计划、培训合格证书、职工花名册以及生产经营情况证明。上述补助同一企业只能享受一次。符合条件的，还可以享受失业保险稳岗返还。实施上述政策的统筹地区，上年度失业保险基金滚存结余备付期限应在2年以上。上述政策执行期限至2022年12月31日。具体办法由各省（自治区、直辖市）制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b/>
          <w:bCs/>
          <w:color w:val="333333"/>
          <w:sz w:val="24"/>
          <w:szCs w:val="24"/>
          <w:shd w:val="clear" w:color="auto" w:fill="FFFFFF"/>
        </w:rPr>
        <w:t>六、大力支持职业技能培训。</w:t>
      </w:r>
      <w:r>
        <w:rPr>
          <w:rFonts w:hint="eastAsia" w:ascii="微软雅黑" w:eastAsia="微软雅黑" w:cs="微软雅黑"/>
          <w:color w:val="333333"/>
          <w:sz w:val="24"/>
          <w:szCs w:val="24"/>
          <w:shd w:val="clear" w:color="auto" w:fill="FFFFFF"/>
        </w:rPr>
        <w:t>上年度失业保险基金滚存结余备付期限在2年以上，并且职业技能提升行动专账资金不足的统筹地区，在各项保生活稳岗位政策落实到位的基础上，根据本地实际，可提取累计结余4%左右的失业保险基金至职业技能提升行动专账资金中，统筹用于职业技能培训。该项政策的提取期限至2022年12月31日。具体办法由各省（自治区、直辖市）制定，并报人力资源和社会保障部、财政部备案。</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b/>
          <w:bCs/>
          <w:color w:val="333333"/>
          <w:sz w:val="24"/>
          <w:szCs w:val="24"/>
          <w:shd w:val="clear" w:color="auto" w:fill="FFFFFF"/>
        </w:rPr>
        <w:t>七、实施降费率和缓缴社会保险费政策。</w:t>
      </w:r>
      <w:r>
        <w:rPr>
          <w:rFonts w:hint="eastAsia" w:ascii="微软雅黑" w:eastAsia="微软雅黑" w:cs="微软雅黑"/>
          <w:color w:val="333333"/>
          <w:sz w:val="24"/>
          <w:szCs w:val="24"/>
          <w:shd w:val="clear" w:color="auto" w:fill="FFFFFF"/>
        </w:rPr>
        <w:t>延续实施阶段性降低失业保险、工伤保险费率政策1年，执行期限至2023年4月30日。对餐饮、零售、旅游、民航、公路水路铁路运输企业阶段性实施缓缴养老保险、失业保险、工伤保险费政策，其中，养老保险费缓缴期限3个月，失业保险和工伤保险费缓缴期限不超过1年，缓缴期间免收滞纳金。以个人身份参加企业职工基本养老保险的个体工商户和各类灵活就业人员，2022年缴纳养老保险费有困难的，可自愿暂缓缴费至2023年底前补缴。</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b/>
          <w:bCs/>
          <w:color w:val="333333"/>
          <w:sz w:val="24"/>
          <w:szCs w:val="24"/>
          <w:shd w:val="clear" w:color="auto" w:fill="FFFFFF"/>
        </w:rPr>
        <w:t>八、保障失业人员基本生活。</w:t>
      </w:r>
      <w:r>
        <w:rPr>
          <w:rFonts w:hint="eastAsia" w:ascii="微软雅黑" w:eastAsia="微软雅黑" w:cs="微软雅黑"/>
          <w:color w:val="333333"/>
          <w:sz w:val="24"/>
          <w:szCs w:val="24"/>
          <w:shd w:val="clear" w:color="auto" w:fill="FFFFFF"/>
        </w:rPr>
        <w:t>继续实施失业保险保障扩围政策，对领取失业保险金期满仍未就业的失业人员、不符合领取失业保险金条件的参保失业人员，发放失业补助金；对参保不满1年的失业农民工，发放临时生活补助。保障范围为2022年1月1日至12月31日期间新发生的参保失业人员。上年度失业保险基金滚存结余备付期限不足2年的省份，可结合本地区就业形势和基金支付能力，制定具体实施政策，并报人力资源和社会保障部、财政部备案。上述政策执行期限至2022年12月31日。持续做好失业保险金、代缴基本医疗保险费和失业农民工一次性生活补助等常规性保生活待遇发放工作。各省（自治区、直辖市）要根据本地实际，逐步将失业保险金标准提高至最低工资标准的90%。要进一步优化失业保险待遇全国线上申领统一入口，方便失业人员申领。</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b/>
          <w:bCs/>
          <w:color w:val="333333"/>
          <w:sz w:val="24"/>
          <w:szCs w:val="24"/>
          <w:shd w:val="clear" w:color="auto" w:fill="FFFFFF"/>
        </w:rPr>
        <w:t>九、切实防范基金风险。</w:t>
      </w:r>
      <w:r>
        <w:rPr>
          <w:rFonts w:hint="eastAsia" w:ascii="微软雅黑" w:eastAsia="微软雅黑" w:cs="微软雅黑"/>
          <w:color w:val="333333"/>
          <w:sz w:val="24"/>
          <w:szCs w:val="24"/>
          <w:shd w:val="clear" w:color="auto" w:fill="FFFFFF"/>
        </w:rPr>
        <w:t>各省（自治区、直辖市）要密切监测失业保险基金运行状况，加强形势研判和工作指导，确保基金收支平衡和安全可持续。要加快推进失业保险基金省级统筹，充分发挥省级调剂金作用，支持基金结余不足的统筹地区落实政策。要健全基金审核、公示、拨付等监督机制，加强技防人防，充分利用信息化手段验证资格条件，完善待遇申领信息比对核查系统，严防欺诈、冒领、骗取风险。</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b/>
          <w:bCs/>
          <w:color w:val="333333"/>
          <w:sz w:val="24"/>
          <w:szCs w:val="24"/>
          <w:shd w:val="clear" w:color="auto" w:fill="FFFFFF"/>
        </w:rPr>
        <w:t>十、加强组织领导。</w:t>
      </w:r>
      <w:r>
        <w:rPr>
          <w:rFonts w:hint="eastAsia" w:ascii="微软雅黑" w:eastAsia="微软雅黑" w:cs="微软雅黑"/>
          <w:color w:val="333333"/>
          <w:sz w:val="24"/>
          <w:szCs w:val="24"/>
          <w:shd w:val="clear" w:color="auto" w:fill="FFFFFF"/>
        </w:rPr>
        <w:t>各地要抓紧抓实抓细失业保险保生活稳岗位提技能等各项惠企利民政策落地见效。要大力开展失业保险待遇“畅通领、安全办”、援企稳岗“护航行动”和技能提升补贴“展翅行动”，持续优化经办服务，推动更多政策免跑即领、免申即享、免证即办，推动政策红利早释放。各省（自治区、直辖市）要加强工作调度，及时掌握政策落实情况，加大督促指导力度；要大力宣传先进经验、工作亮点，为推进工作提供借鉴，营造良好氛围。人力资源和社会保障部将会同有关部门适时对政策实施情况、效果和失业保险基金运行情况开展评估。</w:t>
      </w:r>
    </w:p>
    <w:p>
      <w:pPr>
        <w:pStyle w:val="7"/>
        <w:keepNext w:val="0"/>
        <w:keepLines w:val="0"/>
        <w:widowControl/>
        <w:suppressLineNumbers w:val="0"/>
        <w:spacing w:before="0" w:beforeAutospacing="0" w:after="0" w:afterAutospacing="0" w:line="23" w:lineRule="atLeast"/>
        <w:ind w:left="0" w:right="0"/>
        <w:jc w:val="right"/>
      </w:pPr>
      <w:r>
        <w:rPr>
          <w:rFonts w:hint="eastAsia" w:ascii="微软雅黑" w:eastAsia="微软雅黑" w:cs="微软雅黑"/>
          <w:color w:val="333333"/>
          <w:sz w:val="24"/>
          <w:szCs w:val="24"/>
          <w:shd w:val="clear" w:color="auto" w:fill="FFFFFF"/>
        </w:rPr>
        <w:t>人力资源和社会保障部</w:t>
      </w:r>
    </w:p>
    <w:p>
      <w:pPr>
        <w:pStyle w:val="7"/>
        <w:keepNext w:val="0"/>
        <w:keepLines w:val="0"/>
        <w:widowControl/>
        <w:suppressLineNumbers w:val="0"/>
        <w:spacing w:before="0" w:beforeAutospacing="0" w:after="0" w:afterAutospacing="0" w:line="23" w:lineRule="atLeast"/>
        <w:ind w:left="0" w:right="0"/>
        <w:jc w:val="right"/>
      </w:pPr>
      <w:r>
        <w:rPr>
          <w:rFonts w:hint="eastAsia" w:ascii="微软雅黑" w:eastAsia="微软雅黑" w:cs="微软雅黑"/>
          <w:color w:val="333333"/>
          <w:sz w:val="24"/>
          <w:szCs w:val="24"/>
          <w:shd w:val="clear" w:color="auto" w:fill="FFFFFF"/>
        </w:rPr>
        <w:t>财政部</w:t>
      </w:r>
    </w:p>
    <w:p>
      <w:pPr>
        <w:pStyle w:val="7"/>
        <w:keepNext w:val="0"/>
        <w:keepLines w:val="0"/>
        <w:widowControl/>
        <w:suppressLineNumbers w:val="0"/>
        <w:spacing w:before="0" w:beforeAutospacing="0" w:after="0" w:afterAutospacing="0" w:line="23" w:lineRule="atLeast"/>
        <w:ind w:left="0" w:right="0"/>
        <w:jc w:val="right"/>
      </w:pPr>
      <w:r>
        <w:rPr>
          <w:rFonts w:hint="eastAsia" w:ascii="微软雅黑" w:eastAsia="微软雅黑" w:cs="微软雅黑"/>
          <w:color w:val="333333"/>
          <w:sz w:val="24"/>
          <w:szCs w:val="24"/>
          <w:shd w:val="clear" w:color="auto" w:fill="FFFFFF"/>
        </w:rPr>
        <w:t>国家税务总局</w:t>
      </w:r>
    </w:p>
    <w:p>
      <w:pPr>
        <w:pStyle w:val="7"/>
        <w:keepNext w:val="0"/>
        <w:keepLines w:val="0"/>
        <w:widowControl/>
        <w:suppressLineNumbers w:val="0"/>
        <w:spacing w:before="0" w:beforeAutospacing="0" w:after="0" w:afterAutospacing="0" w:line="23" w:lineRule="atLeast"/>
        <w:ind w:left="0" w:right="0"/>
        <w:jc w:val="right"/>
      </w:pPr>
      <w:r>
        <w:rPr>
          <w:rFonts w:hint="eastAsia" w:ascii="微软雅黑" w:eastAsia="微软雅黑" w:cs="微软雅黑"/>
          <w:color w:val="333333"/>
          <w:sz w:val="24"/>
          <w:szCs w:val="24"/>
          <w:shd w:val="clear" w:color="auto" w:fill="FFFFFF"/>
        </w:rPr>
        <w:t>2022年4月25日</w:t>
      </w:r>
    </w:p>
    <w:p>
      <w:pPr>
        <w:rPr>
          <w:lang w:val="en-US" w:eastAsia="zh-CN"/>
        </w:rPr>
      </w:pPr>
    </w:p>
    <w:p>
      <w:pPr>
        <w:rPr>
          <w:lang w:val="en-US" w:eastAsia="zh-CN"/>
        </w:rPr>
      </w:pPr>
    </w:p>
    <w:p>
      <w:pPr>
        <w:bidi w:val="0"/>
        <w:jc w:val="center"/>
        <w:rPr>
          <w:rFonts w:hint="eastAsia" w:ascii="黑体" w:eastAsia="黑体" w:cs="黑体"/>
          <w:sz w:val="32"/>
          <w:szCs w:val="32"/>
        </w:rPr>
      </w:pPr>
      <w:r>
        <w:rPr>
          <w:rFonts w:hint="eastAsia" w:ascii="黑体" w:eastAsia="黑体" w:cs="黑体"/>
          <w:sz w:val="32"/>
          <w:szCs w:val="32"/>
        </w:rPr>
        <w:t>人力资源和社会保障部 国家发展改革委 财政部 税务总局关于扩大阶段性缓缴社会保险费政策实施范围等问题的通知</w:t>
      </w:r>
    </w:p>
    <w:p>
      <w:pPr>
        <w:bidi w:val="0"/>
        <w:jc w:val="center"/>
        <w:rPr>
          <w:rFonts w:hint="eastAsia" w:ascii="黑体" w:eastAsia="黑体" w:cs="黑体"/>
          <w:sz w:val="32"/>
          <w:szCs w:val="32"/>
        </w:rPr>
      </w:pPr>
      <w:r>
        <w:rPr>
          <w:rFonts w:hint="eastAsia" w:ascii="黑体" w:eastAsia="黑体" w:cs="黑体"/>
          <w:sz w:val="32"/>
          <w:szCs w:val="32"/>
          <w:lang w:val="en-US" w:eastAsia="zh-CN"/>
        </w:rPr>
        <w:t>人社部发〔2022〕31号</w:t>
      </w:r>
    </w:p>
    <w:p>
      <w:pPr>
        <w:pStyle w:val="7"/>
        <w:keepNext w:val="0"/>
        <w:keepLines w:val="0"/>
        <w:widowControl/>
        <w:suppressLineNumbers w:val="0"/>
        <w:spacing w:before="0" w:beforeAutospacing="0" w:after="0" w:afterAutospacing="0" w:line="23" w:lineRule="atLeast"/>
        <w:ind w:left="0" w:right="0"/>
        <w:jc w:val="both"/>
      </w:pPr>
      <w:r>
        <w:rPr>
          <w:rFonts w:hint="eastAsia" w:ascii="微软雅黑" w:eastAsia="微软雅黑" w:cs="微软雅黑"/>
          <w:color w:val="333333"/>
          <w:sz w:val="24"/>
          <w:szCs w:val="24"/>
          <w:shd w:val="clear" w:color="auto" w:fill="FFFFFF"/>
        </w:rPr>
        <w:t>各省、自治区、直辖市人民政府，新疆生产建设兵团：</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为贯彻落实党中央、国务院决策部署，着力保市场主体保就业保民生，在落实特困行业缓缴企业职工基本养老保险费、失业保险费、工伤保险费（以下称三项社保费）政策的基础上，经国务院同意，现就扩大政策实施范围、延长缓缴期限等问题通知如下：</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一、扩大实施缓缴政策的困难行业范围。在对餐饮、零售、旅游、民航、公路水路铁路运输等5个特困行业实施阶段性缓缴三项社保费政策的基础上，以产业链供应链受疫情影响较大、生产经营困难的制造业企业为重点，进一步扩大实施范围（具体行业名单附后）。缓缴扩围行业所属困难企业，可申请缓缴三项社保费单位缴费部分，其中养老保险费缓缴实施期限到2022年年底，工伤、失业保险费缓缴期限不超过1年。原明确的5个特困行业缓缴养老保险费期限相应延长至2022年年底。缓缴期间免收滞纳金。</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二、对受疫情影响较大、生产经营困难的中小微企业实施缓缴政策。受疫情影响严重地区生产经营出现暂时困难的所有中小微企业、以单位方式参保的个体工商户，可申请缓缴三项社保费单位缴费部分，缓缴实施期限到2022年年底，期间免收滞纳金。参加企业职工基本养老保险的事业单位及社会团体、基金会、社会服务机构、律师事务所、会计师事务所等社会组织参照执行。</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三、进一步发挥失业保险稳岗作用。加大稳岗返还支持力度，将大型企业稳岗返还比例由30%提至50%。拓宽一次性留工培训补助受益范围，由出现中高风险疫情地区的中小微企业扩大至该地区的大型企业；各省（自治区、直辖市）还可根据当地受疫情影响程度以及基金结余情况，进一步拓展至未出现中高风险疫情地区的餐饮、零售、旅游、民航和公路水路铁路运输5个行业企业。上述两项政策实施条件和期限与《关于做好失业保险稳岗位提技能防失业工作的通知》（人社部发〔2022〕23号）一致。企业招用毕业年度高校毕业生，签订劳动合同并参加失业保险的，可按每人不超过1500元的标准，发放一次性扩岗补助，具体补助标准由各省份确定，与一次性吸纳就业补贴政策不重复享受，实施期限截至2022年年底。</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四、规范缓缴实施办法。申请缓缴的企业应符合受疫情影响生产经营出现暂时困难、处于亏损状态等条件。各省份要结合地方实际和基金承受能力，在确保养老金等各项社会保险待遇按时足额发放的基础上，制定具体实施办法，明确实施程序、缓缴期限、困难企业和受疫情影响严重地区认定标准、审批流程和工作机制等，可授权县（区）人力资源和社会保障部门会同相关部门负责审批。各县（区）要严格把握适用范围和条件，不得擅自扩大范围、降低标准，批准缓缴的企业名单等情况按月报省级人力资源社会保障、税务部门。各省份具体实施办法出台后报人力资源和社会保障部、国家发展改革委、财政部、税务总局备案。</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五、简化企业申报流程。缓缴社会保险费坚持自愿原则，符合条件的困难企业，可根据自身情况申请缓缴一定期限的社会保险费。各级人力资源社会保障、税务部门要简化办事流程，大力推行“网上办”等不见面服务方式，简化程序，方便企业办理，减轻企业事务性负担。对生产经营困难、所属行业类型等适用条件，可实行告知承诺制，企业出具符合条件的书面承诺。要加强事后监督检查，对作出承诺但经查不符合条件的企业，要及时追缴缓缴的社会保险费，并按规定加收滞纳金。各省份要全面推行稳岗返还“免申即享”经办新模式，通过大数据比对，直接向符合条件的企业发放资金。</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六、切实维护职工权益。申请缓缴社会保险费的企业，要依法履行代扣代缴职工个人缴费义务。不得因缓缴社会保险费，影响职工个人权益。缓缴期限内，职工申领养老保险待遇、办理关系转移等业务的，企业应为其补齐缓缴的养老保险费。缓缴的企业出现注销等情形的，应在注销前缴纳缓缴的费款。</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各地区要高度重视、精心组织实施，精准把握政策实施范围，规范实施程序，健全审核机制，切实防范风险。要切实承担主体责任，加强社会保险基金收支情况监测，做好资金保障，确保各项社会保险待遇按时足额支付。各级人力资源社会保障、发展改革、财政、税务等部门要加强协作配合，完善信息沟通协调机制，切实落实缓缴政策的各项要求，确保政策落地见效。执行中遇到的情况和问题，要及时报告。</w:t>
      </w:r>
    </w:p>
    <w:p>
      <w:pPr>
        <w:pStyle w:val="7"/>
        <w:keepNext w:val="0"/>
        <w:keepLines w:val="0"/>
        <w:widowControl/>
        <w:suppressLineNumbers w:val="0"/>
        <w:spacing w:before="0" w:beforeAutospacing="0" w:after="0" w:afterAutospacing="0" w:line="23" w:lineRule="atLeast"/>
        <w:ind w:left="0" w:right="0" w:firstLine="420"/>
        <w:jc w:val="both"/>
      </w:pP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附件：扩大实施缓缴政策的困难行业名单</w:t>
      </w:r>
    </w:p>
    <w:p>
      <w:pPr>
        <w:pStyle w:val="7"/>
        <w:keepNext w:val="0"/>
        <w:keepLines w:val="0"/>
        <w:widowControl/>
        <w:suppressLineNumbers w:val="0"/>
        <w:spacing w:before="0" w:beforeAutospacing="0" w:after="0" w:afterAutospacing="0" w:line="23" w:lineRule="atLeast"/>
        <w:ind w:left="0" w:right="0" w:firstLine="420"/>
        <w:jc w:val="both"/>
      </w:pPr>
    </w:p>
    <w:p>
      <w:pPr>
        <w:pStyle w:val="7"/>
        <w:keepNext w:val="0"/>
        <w:keepLines w:val="0"/>
        <w:widowControl/>
        <w:suppressLineNumbers w:val="0"/>
        <w:spacing w:before="0" w:beforeAutospacing="0" w:after="0" w:afterAutospacing="0" w:line="23" w:lineRule="atLeast"/>
        <w:ind w:left="0" w:right="0" w:firstLine="420"/>
        <w:jc w:val="right"/>
      </w:pPr>
      <w:r>
        <w:rPr>
          <w:rFonts w:hint="eastAsia" w:ascii="微软雅黑" w:eastAsia="微软雅黑" w:cs="微软雅黑"/>
          <w:color w:val="333333"/>
          <w:sz w:val="24"/>
          <w:szCs w:val="24"/>
          <w:shd w:val="clear" w:color="auto" w:fill="FFFFFF"/>
        </w:rPr>
        <w:t>人力资源和社会保障部 国家发展改革委</w:t>
      </w:r>
    </w:p>
    <w:p>
      <w:pPr>
        <w:pStyle w:val="7"/>
        <w:keepNext w:val="0"/>
        <w:keepLines w:val="0"/>
        <w:widowControl/>
        <w:suppressLineNumbers w:val="0"/>
        <w:spacing w:before="0" w:beforeAutospacing="0" w:after="0" w:afterAutospacing="0" w:line="23" w:lineRule="atLeast"/>
        <w:ind w:left="0" w:right="0" w:firstLine="420"/>
        <w:jc w:val="right"/>
      </w:pPr>
      <w:r>
        <w:rPr>
          <w:rFonts w:hint="eastAsia" w:ascii="微软雅黑" w:eastAsia="微软雅黑" w:cs="微软雅黑"/>
          <w:color w:val="333333"/>
          <w:sz w:val="24"/>
          <w:szCs w:val="24"/>
          <w:shd w:val="clear" w:color="auto" w:fill="FFFFFF"/>
        </w:rPr>
        <w:t>财政部 税务总局</w:t>
      </w:r>
    </w:p>
    <w:p>
      <w:pPr>
        <w:pStyle w:val="7"/>
        <w:keepNext w:val="0"/>
        <w:keepLines w:val="0"/>
        <w:widowControl/>
        <w:suppressLineNumbers w:val="0"/>
        <w:spacing w:before="0" w:beforeAutospacing="0" w:after="0" w:afterAutospacing="0" w:line="23" w:lineRule="atLeast"/>
        <w:ind w:left="0" w:right="0" w:firstLine="420"/>
        <w:jc w:val="right"/>
        <w:rPr>
          <w:rFonts w:hint="eastAsia" w:ascii="微软雅黑" w:eastAsia="微软雅黑" w:cs="微软雅黑"/>
          <w:color w:val="333333"/>
          <w:sz w:val="24"/>
          <w:szCs w:val="24"/>
          <w:shd w:val="clear" w:color="auto" w:fill="FFFFFF"/>
        </w:rPr>
      </w:pPr>
      <w:r>
        <w:rPr>
          <w:rFonts w:hint="eastAsia" w:ascii="微软雅黑" w:eastAsia="微软雅黑" w:cs="微软雅黑"/>
          <w:color w:val="333333"/>
          <w:sz w:val="24"/>
          <w:szCs w:val="24"/>
          <w:shd w:val="clear" w:color="auto" w:fill="FFFFFF"/>
        </w:rPr>
        <w:t>2022年5月31日</w:t>
      </w:r>
    </w:p>
    <w:p>
      <w:pPr>
        <w:pStyle w:val="7"/>
        <w:keepNext w:val="0"/>
        <w:keepLines w:val="0"/>
        <w:widowControl/>
        <w:suppressLineNumbers w:val="0"/>
        <w:spacing w:before="0" w:beforeAutospacing="0" w:after="0" w:afterAutospacing="0" w:line="23" w:lineRule="atLeast"/>
        <w:ind w:left="0" w:right="0" w:firstLine="420"/>
        <w:jc w:val="both"/>
      </w:pPr>
      <w:r>
        <w:rPr>
          <w:rFonts w:ascii="微软雅黑" w:eastAsia="微软雅黑" w:cs="微软雅黑"/>
          <w:color w:val="333333"/>
          <w:sz w:val="24"/>
          <w:szCs w:val="24"/>
          <w:shd w:val="clear" w:color="auto" w:fill="FFFFFF"/>
        </w:rPr>
        <w:t>附件</w:t>
      </w:r>
    </w:p>
    <w:p>
      <w:pPr>
        <w:pStyle w:val="7"/>
        <w:keepNext w:val="0"/>
        <w:keepLines w:val="0"/>
        <w:widowControl/>
        <w:suppressLineNumbers w:val="0"/>
        <w:spacing w:before="0" w:beforeAutospacing="0" w:after="0" w:afterAutospacing="0" w:line="23" w:lineRule="atLeast"/>
        <w:ind w:left="0" w:right="0" w:firstLine="420"/>
        <w:jc w:val="center"/>
      </w:pPr>
      <w:r>
        <w:rPr>
          <w:rFonts w:hint="eastAsia" w:ascii="微软雅黑" w:eastAsia="微软雅黑" w:cs="微软雅黑"/>
          <w:b/>
          <w:bCs/>
          <w:color w:val="333333"/>
          <w:sz w:val="24"/>
          <w:szCs w:val="24"/>
          <w:shd w:val="clear" w:color="auto" w:fill="FFFFFF"/>
        </w:rPr>
        <w:t>扩大实施缓缴政策的困难行业名单</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农副食品加工业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纺织业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纺织服装、服饰业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造纸和纸制品业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印刷和记录媒介复制业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医药制造业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化学纤维制造业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橡胶和塑料制品业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通用设备制造业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汽车制造业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铁路、船舶、航空航天和其他运输设备制造业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仪器仪表制造业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社会工作</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广播、电视、电影和录音制作业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文化艺术业</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体育</w:t>
      </w:r>
    </w:p>
    <w:p>
      <w:pPr>
        <w:pStyle w:val="7"/>
        <w:keepNext w:val="0"/>
        <w:keepLines w:val="0"/>
        <w:widowControl/>
        <w:suppressLineNumbers w:val="0"/>
        <w:spacing w:before="0" w:beforeAutospacing="0" w:after="0" w:afterAutospacing="0" w:line="23" w:lineRule="atLeast"/>
        <w:ind w:left="0" w:right="0" w:firstLine="420"/>
        <w:jc w:val="both"/>
      </w:pPr>
      <w:r>
        <w:rPr>
          <w:rFonts w:hint="eastAsia" w:ascii="微软雅黑" w:eastAsia="微软雅黑" w:cs="微软雅黑"/>
          <w:color w:val="333333"/>
          <w:sz w:val="24"/>
          <w:szCs w:val="24"/>
          <w:shd w:val="clear" w:color="auto" w:fill="FFFFFF"/>
        </w:rPr>
        <w:t>娱乐业</w:t>
      </w:r>
    </w:p>
    <w:p>
      <w:pPr>
        <w:pStyle w:val="7"/>
        <w:keepNext w:val="0"/>
        <w:keepLines w:val="0"/>
        <w:widowControl/>
        <w:suppressLineNumbers w:val="0"/>
        <w:spacing w:before="0" w:beforeAutospacing="0" w:after="0" w:afterAutospacing="0" w:line="23" w:lineRule="atLeast"/>
        <w:ind w:left="0" w:right="0" w:firstLine="420"/>
        <w:jc w:val="left"/>
        <w:rPr>
          <w:rFonts w:hint="eastAsia" w:ascii="微软雅黑" w:eastAsia="微软雅黑" w:cs="微软雅黑"/>
          <w:color w:val="333333"/>
          <w:sz w:val="24"/>
          <w:szCs w:val="24"/>
          <w:shd w:val="clear" w:color="auto" w:fill="FFFFFF"/>
        </w:rPr>
      </w:pPr>
    </w:p>
    <w:p>
      <w:pPr>
        <w:rPr>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989A4D"/>
    <w:multiLevelType w:val="singleLevel"/>
    <w:tmpl w:val="33989A4D"/>
    <w:lvl w:ilvl="0" w:tentative="0">
      <w:start w:val="2"/>
      <w:numFmt w:val="decimal"/>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ZTMyYWU4NjFmNzk2MWExMTQ4N2MyNzNiOGQ0MmJmNjcifQ=="/>
    <w:docVar w:name="KSO_WPS_MARK_KEY" w:val="f6be24db-77a6-4549-9db7-6113953e12d5"/>
  </w:docVars>
  <w:rsids>
    <w:rsidRoot w:val="00000000"/>
    <w:rsid w:val="712629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ascii="宋体" w:eastAsia="宋体" w:cs="宋体"/>
      <w:b/>
      <w:bCs/>
      <w:kern w:val="44"/>
      <w:sz w:val="24"/>
      <w:szCs w:val="24"/>
      <w:lang w:val="en-US" w:eastAsia="zh-CN"/>
    </w:rPr>
  </w:style>
  <w:style w:type="paragraph" w:styleId="3">
    <w:name w:val="heading 2"/>
    <w:basedOn w:val="1"/>
    <w:next w:val="1"/>
    <w:uiPriority w:val="0"/>
    <w:pPr>
      <w:keepNext/>
      <w:keepLines/>
      <w:widowControl w:val="0"/>
      <w:spacing w:before="260" w:beforeAutospacing="0" w:after="260" w:afterAutospacing="0" w:line="413"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toc 1"/>
    <w:basedOn w:val="1"/>
    <w:next w:val="1"/>
    <w:uiPriority w:val="0"/>
  </w:style>
  <w:style w:type="paragraph" w:styleId="6">
    <w:name w:val="toc 2"/>
    <w:basedOn w:val="1"/>
    <w:next w:val="1"/>
    <w:uiPriority w:val="0"/>
    <w:pPr>
      <w:ind w:left="200" w:leftChars="200"/>
    </w:pPr>
  </w:style>
  <w:style w:type="paragraph" w:styleId="7">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10">
    <w:name w:val="FollowedHyperlink"/>
    <w:basedOn w:val="9"/>
    <w:uiPriority w:val="0"/>
    <w:rPr>
      <w:color w:val="800080"/>
      <w:u w:val="none"/>
    </w:rPr>
  </w:style>
  <w:style w:type="character" w:styleId="11">
    <w:name w:val="HTML Definition"/>
    <w:basedOn w:val="9"/>
    <w:uiPriority w:val="0"/>
  </w:style>
  <w:style w:type="character" w:styleId="12">
    <w:name w:val="HTML Variable"/>
    <w:basedOn w:val="9"/>
    <w:uiPriority w:val="0"/>
  </w:style>
  <w:style w:type="character" w:styleId="13">
    <w:name w:val="Hyperlink"/>
    <w:basedOn w:val="9"/>
    <w:uiPriority w:val="0"/>
    <w:rPr>
      <w:color w:val="0000FF"/>
      <w:u w:val="none"/>
    </w:rPr>
  </w:style>
  <w:style w:type="character" w:styleId="14">
    <w:name w:val="HTML Code"/>
    <w:basedOn w:val="9"/>
    <w:uiPriority w:val="0"/>
    <w:rPr>
      <w:rFonts w:ascii="Courier New" w:hAnsi="Courier New"/>
      <w:sz w:val="20"/>
    </w:rPr>
  </w:style>
  <w:style w:type="character" w:styleId="15">
    <w:name w:val="HTML Cite"/>
    <w:basedOn w:val="9"/>
    <w:uiPriority w:val="0"/>
  </w:style>
  <w:style w:type="paragraph" w:customStyle="1" w:styleId="16">
    <w:name w:val="样式1"/>
    <w:basedOn w:val="1"/>
    <w:next w:val="1"/>
    <w:uiPriority w:val="0"/>
    <w:pPr>
      <w:keepNext/>
      <w:keepLines/>
      <w:widowControl w:val="0"/>
      <w:spacing w:before="340" w:after="330" w:line="576" w:lineRule="auto"/>
      <w:outlineLvl w:val="0"/>
    </w:pPr>
    <w:rPr>
      <w:rFonts w:ascii="Calibri" w:hAnsi="Calibri"/>
      <w:b/>
      <w:kern w:val="44"/>
      <w:sz w:val="44"/>
    </w:rPr>
  </w:style>
  <w:style w:type="paragraph" w:customStyle="1" w:styleId="17">
    <w:name w:val="WPSOffice手动目录 1"/>
    <w:uiPriority w:val="0"/>
    <w:rPr>
      <w:rFonts w:ascii="Times New Roman" w:hAnsi="Times New Roman" w:eastAsia="宋体" w:cs="Times New Roman"/>
      <w:sz w:val="20"/>
      <w:szCs w:val="20"/>
      <w:lang w:val="en-US" w:eastAsia="zh-CN" w:bidi="ar-SA"/>
    </w:rPr>
  </w:style>
  <w:style w:type="paragraph" w:customStyle="1" w:styleId="18">
    <w:name w:val="WPSOffice手动目录 2"/>
    <w:uiPriority w:val="0"/>
    <w:pPr>
      <w:ind w:left="200" w:leftChars="200"/>
    </w:pPr>
    <w:rPr>
      <w:rFonts w:ascii="Times New Roman" w:hAnsi="Times New Roman" w:eastAsia="宋体" w:cs="Times New Roman"/>
      <w:sz w:val="20"/>
      <w:szCs w:val="20"/>
      <w:lang w:val="en-US" w:eastAsia="zh-CN" w:bidi="ar-SA"/>
    </w:rPr>
  </w:style>
  <w:style w:type="character" w:customStyle="1" w:styleId="19">
    <w:name w:val="first-child"/>
    <w:basedOn w:val="9"/>
    <w:uiPriority w:val="0"/>
  </w:style>
  <w:style w:type="character" w:customStyle="1" w:styleId="20">
    <w:name w:val="layui-layer-tabnow"/>
    <w:basedOn w:val="9"/>
    <w:uiPriority w:val="0"/>
    <w:rPr>
      <w:bdr w:val="single" w:color="CCCCCC" w:sz="6" w:space="0"/>
      <w:shd w:val="clear" w:color="auto" w:fill="FFFFFF"/>
    </w:rPr>
  </w:style>
  <w:style w:type="character" w:customStyle="1" w:styleId="21">
    <w:name w:val="time"/>
    <w:basedOn w:val="9"/>
    <w:uiPriority w:val="0"/>
    <w:rPr>
      <w:color w:val="999999"/>
      <w:sz w:val="21"/>
      <w:szCs w:val="21"/>
    </w:rPr>
  </w:style>
  <w:style w:type="character" w:customStyle="1" w:styleId="22">
    <w:name w:val="time1"/>
    <w:basedOn w:val="9"/>
    <w:uiPriority w:val="0"/>
    <w:rPr>
      <w:color w:val="999999"/>
      <w:sz w:val="21"/>
      <w:szCs w:val="21"/>
    </w:rPr>
  </w:style>
  <w:style w:type="character" w:customStyle="1" w:styleId="23">
    <w:name w:val="to"/>
    <w:basedOn w:val="9"/>
    <w:uiPriority w:val="0"/>
  </w:style>
  <w:style w:type="character" w:customStyle="1" w:styleId="24">
    <w:name w:val="bq"/>
    <w:basedOn w:val="9"/>
    <w:uiPriority w:val="0"/>
  </w:style>
  <w:style w:type="character" w:customStyle="1" w:styleId="25">
    <w:name w:val="kind"/>
    <w:basedOn w:val="9"/>
    <w:uiPriority w:val="0"/>
    <w:rPr>
      <w:color w:val="336699"/>
      <w:bdr w:val="single" w:color="336699" w:sz="6" w:space="0"/>
    </w:rPr>
  </w:style>
  <w:style w:type="character" w:customStyle="1" w:styleId="26">
    <w:name w:val="lastest"/>
    <w:basedOn w:val="9"/>
    <w:uiPriority w:val="0"/>
  </w:style>
  <w:style w:type="character" w:customStyle="1" w:styleId="27">
    <w:name w:val="sort"/>
    <w:basedOn w:val="9"/>
    <w:uiPriority w:val="0"/>
    <w:rPr>
      <w:rFonts w:ascii="华文楷体" w:eastAsia="华文楷体" w:cs="华文楷体"/>
      <w:color w:val="66666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31</Pages>
  <Words>15707</Words>
  <Characters>16467</Characters>
  <Lines>682</Lines>
  <Paragraphs>282</Paragraphs>
  <TotalTime>0</TotalTime>
  <ScaleCrop>false</ScaleCrop>
  <LinksUpToDate>false</LinksUpToDate>
  <CharactersWithSpaces>16560</CharactersWithSpaces>
  <Application>WPS Office_11.1.0.12970_F1E327BC-269C-435d-A152-05C5408002CA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2022-12-30T14:49:30Z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2F6950E580864A0AB438EAEEC73E81DE</vt:lpwstr>
  </property>
</Properties>
</file>