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bookmarkStart w:id="0" w:name="_GoBack"/>
      <w:bookmarkEnd w:id="0"/>
      <w:r>
        <w:rPr>
          <w:rFonts w:hint="eastAsia" w:ascii="方正小标宋简体" w:eastAsia="方正小标宋简体"/>
          <w:sz w:val="44"/>
          <w:szCs w:val="44"/>
        </w:rPr>
        <w:t>洪洞县教育科技局</w:t>
      </w:r>
      <w:r>
        <w:rPr>
          <w:rFonts w:ascii="方正小标宋简体" w:eastAsia="方正小标宋简体"/>
          <w:sz w:val="44"/>
          <w:szCs w:val="44"/>
        </w:rPr>
        <w:t>202</w:t>
      </w:r>
      <w:r>
        <w:rPr>
          <w:rFonts w:hint="eastAsia" w:ascii="方正小标宋简体" w:eastAsia="方正小标宋简体"/>
          <w:sz w:val="44"/>
          <w:szCs w:val="44"/>
        </w:rPr>
        <w:t>2年部门预算</w:t>
      </w:r>
    </w:p>
    <w:p>
      <w:pPr>
        <w:jc w:val="center"/>
        <w:rPr>
          <w:rFonts w:hint="eastAsia" w:ascii="方正小标宋简体" w:eastAsia="方正小标宋简体"/>
          <w:sz w:val="44"/>
          <w:szCs w:val="44"/>
        </w:rPr>
      </w:pPr>
    </w:p>
    <w:p>
      <w:pPr>
        <w:widowControl/>
        <w:spacing w:line="560" w:lineRule="exact"/>
        <w:ind w:firstLine="636"/>
        <w:jc w:val="center"/>
        <w:rPr>
          <w:rFonts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一、主要职能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（一）贯彻落实党和国家的教育方针、政策、法律、法规，研究制定全县教育工作的规范性文件、措施，并监督执行。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（二）研究制订全县教育事业的中长期发展规划和年度计划，指导、协调实施工作；负责改制学校和社会力量举办的各类学校管理工作。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（三）综合管理全县基础教育、职业教育、成人教育、学前教育、特殊教育等工作；负责全县普及九年义务教育、扫除青壮年文盲工作；指导协调各乡（镇）、县直各部门有关教育的工作。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（四）会同有关部门制订筹措教育经费、教育拨款、教育基建投资的方针政策，依法管理教育资产和各项教育经费，对全县各级各类学校的经费使用情况进行审计监督。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负责全县教育改革与发展的宏观指导和管理。会同有关部门制订教育系统劳动工资及人事管理工作的有关方案和规章制度，指导学校内部管理体制改革。负责全县教师的资格认定、聘用、调配、辞退等工作，办理教育系统调动、奖惩、离退休等呈报审批手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（六）按照干部管理权限和程序的有关规定，负责科级学校领导干部的提名和领导班子的年终考核，负责全县股级学校校长的任免、培训和班子考核，负责教育局机关干部的实绩考核和股级干部的任免。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（七）指导各级各类学校的思想政治工作、德育工作、体育卫生及美育、艺术教育和国防教育工作。负责所属学校党群团工作。负责各类教育学会、社区教育和相关教育机构的管理与指导工作。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（八）负责管理全县的学历教育及各类考试工作。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（九）承担国家、省、市教育科研项目，规划、指导全县教育教学研究工作；根据教学大纲落实学科教学计划，负责各级各类学校的教学常规管理。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（十）指导各级各类学校全面贯彻教育方针，端正办学方向。</w:t>
      </w:r>
    </w:p>
    <w:p>
      <w:pPr>
        <w:spacing w:line="560" w:lineRule="exact"/>
        <w:ind w:left="638" w:leftChars="304"/>
        <w:rPr>
          <w:rFonts w:ascii="黑体" w:hAnsi="黑体" w:eastAsia="黑体"/>
          <w:sz w:val="32"/>
          <w:szCs w:val="32"/>
        </w:rPr>
      </w:pPr>
      <w:r>
        <w:rPr>
          <w:rFonts w:hint="eastAsia" w:ascii="仿宋_GB2312" w:hAnsi="仿宋_GB2312" w:eastAsia="仿宋_GB2312" w:cs="仿宋_GB2312"/>
          <w:sz w:val="32"/>
          <w:szCs w:val="32"/>
        </w:rPr>
        <w:t>（十一）承办上级教育部门和县政府交办的其它事项。</w:t>
      </w:r>
      <w:r>
        <w:rPr>
          <w:rFonts w:hint="eastAsia" w:ascii="黑体" w:hAnsi="黑体" w:eastAsia="黑体"/>
          <w:sz w:val="32"/>
          <w:szCs w:val="32"/>
        </w:rPr>
        <w:t>二、</w:t>
      </w:r>
      <w:r>
        <w:rPr>
          <w:rFonts w:hint="eastAsia" w:ascii="黑体" w:hAnsi="楷体" w:eastAsia="黑体"/>
          <w:kern w:val="0"/>
          <w:sz w:val="32"/>
          <w:szCs w:val="32"/>
        </w:rPr>
        <w:t>部门机构设置及预算单位构成情况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部门职责分工，本部门局机关共有工作人员18人，机关股室26个，包括：办公室、人事股、教育股、职成股、计财股、教师发展中心、招生办、监察室、校舍办、电教馆、教师工作股、工会、政教股、幼教中心、装备中心、教育督导室、教育工委办公室、宣教中心、安全教育中心、科学技术服务中心、科学技术股、教育团工委、关工委办公室、脱贫领导小组办公室、校外教育培训监管股。</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从预算单位构成看，纳入本部门2022年部门汇总预算编制范围的预算单位共计1个，具体包括： 洪洞县教育科技局本级。</w:t>
      </w:r>
    </w:p>
    <w:p>
      <w:pPr>
        <w:widowControl/>
        <w:spacing w:line="560" w:lineRule="exact"/>
        <w:ind w:firstLine="635"/>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三、2022年部门主要工作任务及目标</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习近平新时代中国特色社会主义思想为指导，全面贯彻党的十九届二中、三中、四中、五中全会精神及习近平总书记视察山西重要讲话指示精神，全面贯彻党的教育方针，认真落实省、市教育工作会议精神及全县经济工作会议精神，紧紧围绕“五好思路”，抓改革，进一步提高教育治理水平，进一步推动科技创新，以优异成绩迎接党的二十大胜利召开。</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1.全面加强教科系统党的建设；</w:t>
      </w:r>
    </w:p>
    <w:p>
      <w:pPr>
        <w:widowControl/>
        <w:spacing w:line="560" w:lineRule="exact"/>
        <w:ind w:left="63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2.推动改革和发展深度融合高效联动；</w:t>
      </w:r>
    </w:p>
    <w:p>
      <w:pPr>
        <w:widowControl/>
        <w:spacing w:line="560" w:lineRule="exact"/>
        <w:ind w:left="63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3.提升教育服务社会经济发展能力；</w:t>
      </w:r>
    </w:p>
    <w:p>
      <w:pPr>
        <w:widowControl/>
        <w:spacing w:line="560" w:lineRule="exact"/>
        <w:ind w:left="63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4.落实立德树人根本任务；</w:t>
      </w:r>
    </w:p>
    <w:p>
      <w:pPr>
        <w:widowControl/>
        <w:spacing w:line="560" w:lineRule="exact"/>
        <w:ind w:left="63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5.提升人民群众教育获得感；</w:t>
      </w:r>
    </w:p>
    <w:p>
      <w:pPr>
        <w:widowControl/>
        <w:spacing w:line="560" w:lineRule="exact"/>
        <w:ind w:left="63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6.提升教师教书育人能力素质。</w:t>
      </w:r>
    </w:p>
    <w:p>
      <w:pPr>
        <w:widowControl/>
        <w:spacing w:line="560" w:lineRule="exact"/>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 xml:space="preserve"> </w:t>
      </w:r>
    </w:p>
    <w:p>
      <w:pPr>
        <w:widowControl/>
        <w:spacing w:line="560" w:lineRule="exact"/>
        <w:ind w:firstLine="635"/>
        <w:jc w:val="center"/>
        <w:rPr>
          <w:rFonts w:ascii="仿宋_GB2312" w:eastAsia="仿宋_GB2312"/>
          <w:sz w:val="32"/>
          <w:szCs w:val="32"/>
        </w:rPr>
      </w:pPr>
      <w:r>
        <w:rPr>
          <w:rFonts w:hint="eastAsia" w:ascii="方正小标宋简体" w:hAnsi="楷体" w:eastAsia="方正小标宋简体"/>
          <w:kern w:val="0"/>
          <w:sz w:val="36"/>
          <w:szCs w:val="36"/>
        </w:rPr>
        <w:t>第二部分 2022年度部门预算表</w:t>
      </w:r>
      <w:r>
        <w:rPr>
          <w:rFonts w:hint="eastAsia" w:ascii="仿宋_GB2312" w:eastAsia="仿宋_GB2312"/>
          <w:b/>
          <w:sz w:val="36"/>
          <w:szCs w:val="36"/>
        </w:rPr>
        <w:t>（附后）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一、2022年预算收支总表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二、2022年预算收入总表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三、2022年预算支出总表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四、2022年财政拨款收支总表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五、2022年一般公共预算支出预算表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六、2022年一般公共预算安排基本支出分经济科目表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七、2022年</w:t>
      </w:r>
      <w:r>
        <w:rPr>
          <w:rFonts w:hint="eastAsia" w:ascii="仿宋_GB2312" w:hAnsi="楷体" w:eastAsia="仿宋_GB2312"/>
          <w:kern w:val="0"/>
          <w:sz w:val="32"/>
          <w:szCs w:val="32"/>
        </w:rPr>
        <w:t>政府性基金预算支出预算表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八、2022年</w:t>
      </w:r>
      <w:r>
        <w:rPr>
          <w:rFonts w:hint="eastAsia" w:ascii="仿宋_GB2312" w:hAnsi="仿宋" w:eastAsia="仿宋_GB2312" w:cs="宋体"/>
          <w:kern w:val="0"/>
          <w:sz w:val="32"/>
          <w:szCs w:val="32"/>
        </w:rPr>
        <w:t>政府采购支出预算表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w:t>
      </w:r>
      <w:r>
        <w:rPr>
          <w:rFonts w:hint="eastAsia" w:ascii="仿宋_GB2312" w:hAnsi="楷体" w:eastAsia="仿宋_GB2312"/>
          <w:kern w:val="0"/>
          <w:sz w:val="32"/>
          <w:szCs w:val="32"/>
        </w:rPr>
        <w:t>2022年</w:t>
      </w:r>
      <w:r>
        <w:rPr>
          <w:rFonts w:hint="eastAsia" w:ascii="仿宋_GB2312" w:hAnsi="宋体" w:eastAsia="仿宋_GB2312"/>
          <w:sz w:val="32"/>
          <w:szCs w:val="32"/>
        </w:rPr>
        <w:t>政府购买服务预算资金明细表</w:t>
      </w:r>
    </w:p>
    <w:p>
      <w:pPr>
        <w:widowControl/>
        <w:spacing w:line="560" w:lineRule="exact"/>
        <w:ind w:firstLine="640"/>
        <w:rPr>
          <w:rFonts w:ascii="仿宋_GB2312" w:eastAsia="仿宋_GB2312"/>
          <w:sz w:val="32"/>
          <w:szCs w:val="32"/>
        </w:rPr>
      </w:pPr>
      <w:r>
        <w:rPr>
          <w:rFonts w:hint="eastAsia" w:ascii="仿宋_GB2312" w:eastAsia="仿宋_GB2312"/>
          <w:sz w:val="32"/>
          <w:szCs w:val="32"/>
        </w:rPr>
        <w:t>十、</w:t>
      </w:r>
      <w:r>
        <w:rPr>
          <w:rFonts w:hint="eastAsia" w:ascii="仿宋_GB2312" w:hAnsi="楷体" w:eastAsia="仿宋_GB2312"/>
          <w:kern w:val="0"/>
          <w:sz w:val="32"/>
          <w:szCs w:val="32"/>
        </w:rPr>
        <w:t>2022年</w:t>
      </w:r>
      <w:r>
        <w:rPr>
          <w:rFonts w:hint="eastAsia" w:ascii="仿宋_GB2312" w:hAnsi="仿宋" w:eastAsia="仿宋_GB2312" w:cs="宋体"/>
          <w:kern w:val="0"/>
          <w:sz w:val="32"/>
          <w:szCs w:val="32"/>
        </w:rPr>
        <w:t>一般公共预算机关运行经费支出预算表</w:t>
      </w:r>
    </w:p>
    <w:p>
      <w:pPr>
        <w:widowControl/>
        <w:spacing w:line="560" w:lineRule="exact"/>
        <w:ind w:firstLine="640"/>
        <w:rPr>
          <w:rFonts w:ascii="仿宋_GB2312" w:hAnsi="仿宋" w:eastAsia="仿宋_GB2312" w:cs="宋体"/>
          <w:kern w:val="0"/>
          <w:sz w:val="32"/>
          <w:szCs w:val="32"/>
        </w:rPr>
      </w:pPr>
      <w:r>
        <w:rPr>
          <w:rFonts w:hint="eastAsia" w:ascii="仿宋_GB2312" w:eastAsia="仿宋_GB2312"/>
          <w:sz w:val="32"/>
          <w:szCs w:val="32"/>
        </w:rPr>
        <w:t>十一、</w:t>
      </w:r>
      <w:r>
        <w:rPr>
          <w:rFonts w:hint="eastAsia" w:ascii="仿宋_GB2312" w:hAnsi="楷体" w:eastAsia="仿宋_GB2312"/>
          <w:kern w:val="0"/>
          <w:sz w:val="32"/>
          <w:szCs w:val="32"/>
        </w:rPr>
        <w:t>2022年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widowControl/>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十二、2022年财政项目支出绩效目标表</w:t>
      </w:r>
    </w:p>
    <w:p>
      <w:pPr>
        <w:widowControl/>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十三、2022年政府性基金预算收入预算表</w:t>
      </w:r>
    </w:p>
    <w:p>
      <w:pPr>
        <w:widowControl/>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十四、2022年国有资本经营预算收支预算表</w:t>
      </w:r>
    </w:p>
    <w:p>
      <w:pPr>
        <w:widowControl/>
        <w:spacing w:line="560" w:lineRule="exact"/>
        <w:ind w:firstLine="635"/>
        <w:jc w:val="center"/>
        <w:rPr>
          <w:rFonts w:ascii="方正小标宋简体" w:hAnsi="楷体" w:eastAsia="方正小标宋简体"/>
          <w:kern w:val="0"/>
          <w:sz w:val="36"/>
          <w:szCs w:val="36"/>
        </w:rPr>
      </w:pPr>
    </w:p>
    <w:p>
      <w:pPr>
        <w:widowControl/>
        <w:spacing w:line="560" w:lineRule="exact"/>
        <w:ind w:firstLine="635"/>
        <w:jc w:val="center"/>
        <w:rPr>
          <w:rFonts w:ascii="方正小标宋简体" w:hAnsi="楷体" w:eastAsia="方正小标宋简体"/>
          <w:kern w:val="0"/>
          <w:sz w:val="36"/>
          <w:szCs w:val="36"/>
        </w:rPr>
      </w:pPr>
    </w:p>
    <w:p>
      <w:pPr>
        <w:widowControl/>
        <w:spacing w:line="560" w:lineRule="exact"/>
        <w:ind w:firstLine="635"/>
        <w:jc w:val="center"/>
        <w:rPr>
          <w:rFonts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2022年度部门预算情况说明</w:t>
      </w:r>
    </w:p>
    <w:p>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u w:val="single"/>
        </w:rPr>
        <w:t>洪洞县教育科技局</w:t>
      </w:r>
      <w:r>
        <w:rPr>
          <w:rFonts w:hint="eastAsia" w:ascii="仿宋_GB2312" w:hAnsi="楷体" w:eastAsia="仿宋_GB2312"/>
          <w:kern w:val="0"/>
          <w:sz w:val="32"/>
          <w:szCs w:val="32"/>
        </w:rPr>
        <w:t>2022年度收入、支出预算总计</w:t>
      </w:r>
      <w:r>
        <w:rPr>
          <w:rFonts w:hint="eastAsia" w:ascii="仿宋_GB2312" w:hAnsi="楷体" w:eastAsia="仿宋_GB2312"/>
          <w:kern w:val="0"/>
          <w:sz w:val="32"/>
          <w:szCs w:val="32"/>
          <w:u w:val="single"/>
        </w:rPr>
        <w:t>13595.7252</w:t>
      </w:r>
      <w:r>
        <w:rPr>
          <w:rFonts w:hint="eastAsia" w:ascii="仿宋_GB2312" w:hAnsi="楷体" w:eastAsia="仿宋_GB2312"/>
          <w:kern w:val="0"/>
          <w:sz w:val="32"/>
          <w:szCs w:val="32"/>
        </w:rPr>
        <w:t>万元，与上年相比收、支预算总计各减少</w:t>
      </w:r>
      <w:r>
        <w:rPr>
          <w:rFonts w:hint="eastAsia" w:ascii="仿宋_GB2312" w:hAnsi="楷体" w:eastAsia="仿宋_GB2312"/>
          <w:kern w:val="0"/>
          <w:sz w:val="32"/>
          <w:szCs w:val="32"/>
          <w:u w:val="single"/>
        </w:rPr>
        <w:t>8069.7248</w:t>
      </w:r>
      <w:r>
        <w:rPr>
          <w:rFonts w:hint="eastAsia" w:ascii="仿宋_GB2312" w:hAnsi="楷体" w:eastAsia="仿宋_GB2312"/>
          <w:kern w:val="0"/>
          <w:sz w:val="32"/>
          <w:szCs w:val="32"/>
        </w:rPr>
        <w:t>万元，降低</w:t>
      </w:r>
      <w:r>
        <w:rPr>
          <w:rFonts w:hint="eastAsia" w:ascii="仿宋_GB2312" w:hAnsi="楷体" w:eastAsia="仿宋_GB2312"/>
          <w:kern w:val="0"/>
          <w:sz w:val="32"/>
          <w:szCs w:val="32"/>
          <w:u w:val="single"/>
        </w:rPr>
        <w:t>37.25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rPr>
        <w:t>13595.7252</w:t>
      </w:r>
      <w:r>
        <w:rPr>
          <w:rFonts w:hint="eastAsia" w:ascii="仿宋_GB2312" w:hAnsi="楷体" w:eastAsia="仿宋_GB2312"/>
          <w:kern w:val="0"/>
          <w:sz w:val="32"/>
          <w:szCs w:val="32"/>
        </w:rPr>
        <w:t>万元。包括：</w:t>
      </w:r>
    </w:p>
    <w:p>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rPr>
        <w:t>13505.7252</w:t>
      </w:r>
      <w:r>
        <w:rPr>
          <w:rFonts w:hint="eastAsia" w:ascii="仿宋_GB2312" w:hAnsi="楷体" w:eastAsia="仿宋_GB2312"/>
          <w:kern w:val="0"/>
          <w:sz w:val="32"/>
          <w:szCs w:val="32"/>
        </w:rPr>
        <w:t>万元。</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rPr>
        <w:t>13505.7252</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8089.7248</w:t>
      </w:r>
      <w:r>
        <w:rPr>
          <w:rFonts w:hint="eastAsia" w:ascii="仿宋_GB2312" w:hAnsi="楷体" w:eastAsia="仿宋_GB2312"/>
          <w:kern w:val="0"/>
          <w:sz w:val="32"/>
          <w:szCs w:val="32"/>
        </w:rPr>
        <w:t>万元，降低</w:t>
      </w:r>
      <w:r>
        <w:rPr>
          <w:rFonts w:hint="eastAsia" w:ascii="仿宋_GB2312" w:hAnsi="楷体" w:eastAsia="仿宋_GB2312"/>
          <w:kern w:val="0"/>
          <w:sz w:val="32"/>
          <w:szCs w:val="32"/>
          <w:u w:val="single"/>
        </w:rPr>
        <w:t>37.46</w:t>
      </w:r>
      <w:r>
        <w:rPr>
          <w:rFonts w:ascii="仿宋_GB2312" w:hAnsi="楷体" w:eastAsia="仿宋_GB2312"/>
          <w:kern w:val="0"/>
          <w:sz w:val="32"/>
          <w:szCs w:val="32"/>
        </w:rPr>
        <w:t>%</w:t>
      </w:r>
      <w:r>
        <w:rPr>
          <w:rFonts w:hint="eastAsia" w:ascii="仿宋_GB2312" w:hAnsi="楷体" w:eastAsia="仿宋_GB2312"/>
          <w:kern w:val="0"/>
          <w:sz w:val="32"/>
          <w:szCs w:val="32"/>
        </w:rPr>
        <w:t>。主要原因是2021年教科局预算包括下属学校待分配资金项目，2022年项目预算待分配资金已分配到各学校列入预算。</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。主要原因是与上年数相同。</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rPr>
        <w:t>90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20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28.57</w:t>
      </w:r>
      <w:r>
        <w:rPr>
          <w:rFonts w:ascii="仿宋_GB2312" w:hAnsi="楷体" w:eastAsia="仿宋_GB2312"/>
          <w:kern w:val="0"/>
          <w:sz w:val="32"/>
          <w:szCs w:val="32"/>
        </w:rPr>
        <w:t>%</w:t>
      </w:r>
      <w:r>
        <w:rPr>
          <w:rFonts w:hint="eastAsia" w:ascii="仿宋_GB2312" w:hAnsi="楷体" w:eastAsia="仿宋_GB2312"/>
          <w:kern w:val="0"/>
          <w:sz w:val="32"/>
          <w:szCs w:val="32"/>
        </w:rPr>
        <w:t>。主要原因是2022年参加初中学业水平测试人数增加，增加报考报名费。</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。主要原因是与上年数相同。</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。主要原因是与上年数相同。</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rPr>
        <w:t>13595.7252</w:t>
      </w:r>
      <w:r>
        <w:rPr>
          <w:rFonts w:hint="eastAsia" w:ascii="仿宋_GB2312" w:hAnsi="楷体" w:eastAsia="仿宋_GB2312"/>
          <w:kern w:val="0"/>
          <w:sz w:val="32"/>
          <w:szCs w:val="32"/>
        </w:rPr>
        <w:t>万元。包括：</w:t>
      </w:r>
    </w:p>
    <w:p>
      <w:pPr>
        <w:widowControl/>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．教育支出</w:t>
      </w:r>
      <w:r>
        <w:rPr>
          <w:rFonts w:hint="eastAsia" w:ascii="仿宋_GB2312" w:hAnsi="楷体" w:eastAsia="仿宋_GB2312"/>
          <w:kern w:val="0"/>
          <w:sz w:val="32"/>
          <w:szCs w:val="32"/>
          <w:u w:val="single"/>
        </w:rPr>
        <w:t>13501.0273</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7972.3727</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37.13</w:t>
      </w:r>
      <w:r>
        <w:rPr>
          <w:rFonts w:ascii="仿宋_GB2312" w:hAnsi="楷体" w:eastAsia="仿宋_GB2312"/>
          <w:kern w:val="0"/>
          <w:sz w:val="32"/>
          <w:szCs w:val="32"/>
        </w:rPr>
        <w:t>%</w:t>
      </w:r>
      <w:r>
        <w:rPr>
          <w:rFonts w:hint="eastAsia" w:ascii="仿宋_GB2312" w:hAnsi="楷体" w:eastAsia="仿宋_GB2312"/>
          <w:kern w:val="0"/>
          <w:sz w:val="32"/>
          <w:szCs w:val="32"/>
        </w:rPr>
        <w:t>。主要原因是2021年教科局预算包括下属学校待分配资金项目，2022年项目预算待分配资金已分配到各学校列入预算。</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2.科技支出</w:t>
      </w:r>
      <w:r>
        <w:rPr>
          <w:rFonts w:hint="eastAsia" w:ascii="仿宋_GB2312" w:hAnsi="楷体" w:eastAsia="仿宋_GB2312"/>
          <w:kern w:val="0"/>
          <w:sz w:val="32"/>
          <w:szCs w:val="32"/>
          <w:u w:val="single"/>
        </w:rPr>
        <w:t>48.2679</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80.0721</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62.39</w:t>
      </w:r>
      <w:r>
        <w:rPr>
          <w:rFonts w:ascii="仿宋_GB2312" w:hAnsi="楷体" w:eastAsia="仿宋_GB2312"/>
          <w:kern w:val="0"/>
          <w:sz w:val="32"/>
          <w:szCs w:val="32"/>
        </w:rPr>
        <w:t>%</w:t>
      </w:r>
      <w:r>
        <w:rPr>
          <w:rFonts w:hint="eastAsia" w:ascii="仿宋_GB2312" w:hAnsi="楷体" w:eastAsia="仿宋_GB2312"/>
          <w:kern w:val="0"/>
          <w:sz w:val="32"/>
          <w:szCs w:val="32"/>
        </w:rPr>
        <w:t>。主要原因为2021年偿还原科技局科技创建市级农业产业化龙头企业经费60万元，减少科技创新企业奖励项目20万元。</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3．社会保障和就业支出</w:t>
      </w:r>
      <w:r>
        <w:rPr>
          <w:rFonts w:hint="eastAsia" w:ascii="仿宋_GB2312" w:hAnsi="楷体" w:eastAsia="仿宋_GB2312"/>
          <w:kern w:val="0"/>
          <w:sz w:val="32"/>
          <w:szCs w:val="32"/>
          <w:u w:val="single"/>
        </w:rPr>
        <w:t>31.0373</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18.2427</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37.02</w:t>
      </w:r>
      <w:r>
        <w:rPr>
          <w:rFonts w:ascii="仿宋_GB2312" w:hAnsi="楷体" w:eastAsia="仿宋_GB2312"/>
          <w:kern w:val="0"/>
          <w:sz w:val="32"/>
          <w:szCs w:val="32"/>
        </w:rPr>
        <w:t>%</w:t>
      </w:r>
      <w:r>
        <w:rPr>
          <w:rFonts w:hint="eastAsia" w:ascii="仿宋_GB2312" w:hAnsi="楷体" w:eastAsia="仿宋_GB2312"/>
          <w:kern w:val="0"/>
          <w:sz w:val="32"/>
          <w:szCs w:val="32"/>
        </w:rPr>
        <w:t>。主要原因为退休人员职业年金未做实，做实后新增预算。</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4.住房保障支出</w:t>
      </w:r>
      <w:r>
        <w:rPr>
          <w:rFonts w:hint="eastAsia" w:ascii="仿宋_GB2312" w:hAnsi="楷体" w:eastAsia="仿宋_GB2312"/>
          <w:kern w:val="0"/>
          <w:sz w:val="32"/>
          <w:szCs w:val="32"/>
          <w:u w:val="single"/>
        </w:rPr>
        <w:t>15.3927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0.9627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6.67</w:t>
      </w:r>
      <w:r>
        <w:rPr>
          <w:rFonts w:ascii="仿宋_GB2312" w:hAnsi="楷体" w:eastAsia="仿宋_GB2312"/>
          <w:kern w:val="0"/>
          <w:sz w:val="32"/>
          <w:szCs w:val="32"/>
        </w:rPr>
        <w:t>%</w:t>
      </w:r>
      <w:r>
        <w:rPr>
          <w:rFonts w:hint="eastAsia" w:ascii="仿宋_GB2312" w:hAnsi="楷体" w:eastAsia="仿宋_GB2312"/>
          <w:kern w:val="0"/>
          <w:sz w:val="32"/>
          <w:szCs w:val="32"/>
        </w:rPr>
        <w:t>。主要原因为2021年新分配公务员3人。</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5．基本支出预算数为</w:t>
      </w:r>
      <w:r>
        <w:rPr>
          <w:rFonts w:hint="eastAsia" w:ascii="仿宋_GB2312" w:hAnsi="楷体" w:eastAsia="仿宋_GB2312"/>
          <w:kern w:val="0"/>
          <w:sz w:val="32"/>
          <w:szCs w:val="32"/>
          <w:u w:val="single"/>
        </w:rPr>
        <w:t>216.8088</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7.1612</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3.2</w:t>
      </w:r>
      <w:r>
        <w:rPr>
          <w:rFonts w:ascii="仿宋_GB2312" w:hAnsi="楷体" w:eastAsia="仿宋_GB2312"/>
          <w:kern w:val="0"/>
          <w:sz w:val="32"/>
          <w:szCs w:val="32"/>
        </w:rPr>
        <w:t>%</w:t>
      </w:r>
      <w:r>
        <w:rPr>
          <w:rFonts w:hint="eastAsia" w:ascii="仿宋_GB2312" w:hAnsi="楷体" w:eastAsia="仿宋_GB2312"/>
          <w:kern w:val="0"/>
          <w:sz w:val="32"/>
          <w:szCs w:val="32"/>
        </w:rPr>
        <w:t>。主要原因是达龄退休人员2人。项目支出预算数为</w:t>
      </w:r>
      <w:r>
        <w:rPr>
          <w:rFonts w:hint="eastAsia" w:ascii="仿宋_GB2312" w:hAnsi="楷体" w:eastAsia="仿宋_GB2312"/>
          <w:kern w:val="0"/>
          <w:sz w:val="32"/>
          <w:szCs w:val="32"/>
          <w:u w:val="single"/>
        </w:rPr>
        <w:t>13378.9164</w:t>
      </w:r>
      <w:r>
        <w:rPr>
          <w:rFonts w:hint="eastAsia" w:ascii="仿宋_GB2312" w:hAnsi="楷体" w:eastAsia="仿宋_GB2312"/>
          <w:kern w:val="0"/>
          <w:sz w:val="32"/>
          <w:szCs w:val="32"/>
        </w:rPr>
        <w:t>万元。与上年相减少</w:t>
      </w:r>
      <w:r>
        <w:rPr>
          <w:rFonts w:hint="eastAsia" w:ascii="仿宋_GB2312" w:hAnsi="楷体" w:eastAsia="仿宋_GB2312"/>
          <w:kern w:val="0"/>
          <w:sz w:val="32"/>
          <w:szCs w:val="32"/>
          <w:u w:val="single"/>
        </w:rPr>
        <w:t>8062.56</w:t>
      </w:r>
      <w:r>
        <w:rPr>
          <w:rFonts w:hint="eastAsia" w:ascii="仿宋_GB2312" w:hAnsi="楷体" w:eastAsia="仿宋_GB2312"/>
          <w:kern w:val="0"/>
          <w:sz w:val="32"/>
          <w:szCs w:val="32"/>
          <w:u w:val="single"/>
          <w:lang w:val="en-US" w:eastAsia="zh-CN"/>
        </w:rPr>
        <w:t>36</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37.6</w:t>
      </w:r>
      <w:r>
        <w:rPr>
          <w:rFonts w:hint="eastAsia" w:ascii="仿宋_GB2312" w:hAnsi="楷体" w:eastAsia="仿宋_GB2312"/>
          <w:kern w:val="0"/>
          <w:sz w:val="32"/>
          <w:szCs w:val="32"/>
          <w:u w:val="single"/>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rPr>
        <w:t>。主要原因是2021年教科局预算包括下属学校待分配资金项目，2022年项目预算待分配资金已分配到各学校列入预算。</w:t>
      </w:r>
    </w:p>
    <w:p>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二、收入预算情况说明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洪洞县教育科技局本年收入预算合计</w:t>
      </w:r>
      <w:r>
        <w:rPr>
          <w:rFonts w:hint="eastAsia" w:ascii="仿宋_GB2312" w:hAnsi="楷体" w:eastAsia="仿宋_GB2312"/>
          <w:kern w:val="0"/>
          <w:sz w:val="32"/>
          <w:szCs w:val="32"/>
          <w:u w:val="single"/>
        </w:rPr>
        <w:t>13595.7252</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rPr>
        <w:t>13505.7252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99.34</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rPr>
        <w:t>90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0.66</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spacing w:line="560" w:lineRule="exact"/>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洪洞县教育科技局本年支出预算合计</w:t>
      </w:r>
      <w:r>
        <w:rPr>
          <w:rFonts w:hint="eastAsia" w:ascii="仿宋_GB2312" w:hAnsi="楷体" w:eastAsia="仿宋_GB2312"/>
          <w:kern w:val="0"/>
          <w:sz w:val="32"/>
          <w:szCs w:val="32"/>
          <w:u w:val="single"/>
        </w:rPr>
        <w:t>13595.7252</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rPr>
        <w:t>216.8088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1.59</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rPr>
        <w:t>13378.9164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98.41</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40"/>
        <w:rPr>
          <w:rFonts w:ascii="黑体" w:hAnsi="Times New Roman" w:eastAsia="黑体" w:cs="FZHTK--GBK1-0"/>
          <w:kern w:val="0"/>
          <w:sz w:val="32"/>
          <w:szCs w:val="32"/>
        </w:rPr>
      </w:pPr>
      <w:r>
        <w:rPr>
          <w:rFonts w:hint="eastAsia" w:ascii="仿宋_GB2312" w:hAnsi="楷体" w:eastAsia="仿宋_GB2312"/>
          <w:kern w:val="0"/>
          <w:sz w:val="32"/>
          <w:szCs w:val="32"/>
        </w:rPr>
        <w:t>洪洞县教育科技局2022年度财政拨款收、支总预算</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rPr>
        <w:t>13505.7252</w:t>
      </w:r>
      <w:r>
        <w:rPr>
          <w:rFonts w:hint="eastAsia" w:ascii="仿宋_GB2312" w:hAnsi="楷体" w:eastAsia="仿宋_GB2312"/>
          <w:kern w:val="0"/>
          <w:sz w:val="32"/>
          <w:szCs w:val="32"/>
        </w:rPr>
        <w:t>万元。与上年相比，财政拨款收、支总计各减少</w:t>
      </w:r>
      <w:r>
        <w:rPr>
          <w:rFonts w:hint="eastAsia" w:ascii="仿宋_GB2312" w:hAnsi="楷体" w:eastAsia="仿宋_GB2312"/>
          <w:kern w:val="0"/>
          <w:sz w:val="32"/>
          <w:szCs w:val="32"/>
          <w:u w:val="single"/>
        </w:rPr>
        <w:t>8089.7248</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37.46</w:t>
      </w:r>
      <w:r>
        <w:rPr>
          <w:rFonts w:ascii="仿宋_GB2312" w:hAnsi="楷体" w:eastAsia="仿宋_GB2312"/>
          <w:kern w:val="0"/>
          <w:sz w:val="32"/>
          <w:szCs w:val="32"/>
        </w:rPr>
        <w:t>%</w:t>
      </w:r>
      <w:r>
        <w:rPr>
          <w:rFonts w:hint="eastAsia" w:ascii="仿宋_GB2312" w:hAnsi="楷体" w:eastAsia="仿宋_GB2312"/>
          <w:kern w:val="0"/>
          <w:sz w:val="32"/>
          <w:szCs w:val="32"/>
        </w:rPr>
        <w:t>。主要原因是2021年教科局预算包括下属学校待分配资金项目，2022年项目预算待分配资金已分配到各学校预算。</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洪洞县教育科技局2022年一般公共预算支出预算</w:t>
      </w:r>
      <w:r>
        <w:rPr>
          <w:rFonts w:hint="eastAsia" w:ascii="仿宋_GB2312" w:hAnsi="楷体" w:eastAsia="仿宋_GB2312"/>
          <w:kern w:val="0"/>
          <w:sz w:val="32"/>
          <w:szCs w:val="32"/>
          <w:u w:val="single"/>
        </w:rPr>
        <w:t>13505.7252</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8089.7248</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37.46</w:t>
      </w:r>
      <w:r>
        <w:rPr>
          <w:rFonts w:ascii="仿宋_GB2312" w:hAnsi="楷体" w:eastAsia="仿宋_GB2312"/>
          <w:kern w:val="0"/>
          <w:sz w:val="32"/>
          <w:szCs w:val="32"/>
        </w:rPr>
        <w:t>%</w:t>
      </w:r>
      <w:r>
        <w:rPr>
          <w:rFonts w:hint="eastAsia" w:ascii="仿宋_GB2312" w:hAnsi="楷体" w:eastAsia="仿宋_GB2312"/>
          <w:kern w:val="0"/>
          <w:sz w:val="32"/>
          <w:szCs w:val="32"/>
        </w:rPr>
        <w:t>。主要原因是2021年教科局预算包括下属学校待分配资金项目，2022年项目预算待分配资金已分配到各学校预算。</w:t>
      </w:r>
    </w:p>
    <w:p>
      <w:pPr>
        <w:autoSpaceDE w:val="0"/>
        <w:autoSpaceDN w:val="0"/>
        <w:adjustRightInd w:val="0"/>
        <w:spacing w:line="560" w:lineRule="exact"/>
        <w:ind w:firstLine="641"/>
        <w:jc w:val="left"/>
        <w:rPr>
          <w:rFonts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洪洞县教育科技局2022年度一般公共预算基本支出预算</w:t>
      </w:r>
      <w:r>
        <w:rPr>
          <w:rFonts w:hint="eastAsia" w:ascii="仿宋_GB2312" w:hAnsi="楷体" w:eastAsia="仿宋_GB2312"/>
          <w:kern w:val="0"/>
          <w:sz w:val="32"/>
          <w:szCs w:val="32"/>
          <w:u w:val="single"/>
        </w:rPr>
        <w:t>216.8088</w:t>
      </w:r>
      <w:r>
        <w:rPr>
          <w:rFonts w:hint="eastAsia" w:ascii="仿宋_GB2312" w:hAnsi="楷体" w:eastAsia="仿宋_GB2312"/>
          <w:kern w:val="0"/>
          <w:sz w:val="32"/>
          <w:szCs w:val="32"/>
        </w:rPr>
        <w:t>万元，其中：</w:t>
      </w:r>
    </w:p>
    <w:p>
      <w:pPr>
        <w:widowControl/>
        <w:spacing w:line="560" w:lineRule="exact"/>
        <w:ind w:firstLine="641"/>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rPr>
        <w:t>193.6733</w:t>
      </w:r>
      <w:r>
        <w:rPr>
          <w:rFonts w:hint="eastAsia" w:ascii="仿宋_GB2312" w:hAnsi="楷体" w:eastAsia="仿宋_GB2312"/>
          <w:kern w:val="0"/>
          <w:sz w:val="32"/>
          <w:szCs w:val="32"/>
        </w:rPr>
        <w:t>万元。主要包括：基本工资、津贴补贴、奖金、社会保障缴费、伙食补助费、绩效工资、其他工资福利支出、离休费、退休费、抚恤金、生活补助、医疗费、奖励金、住房公积金、其他对个人和家庭的补助支出。</w:t>
      </w:r>
    </w:p>
    <w:p>
      <w:pPr>
        <w:autoSpaceDE w:val="0"/>
        <w:autoSpaceDN w:val="0"/>
        <w:adjustRightInd w:val="0"/>
        <w:spacing w:line="560" w:lineRule="exact"/>
        <w:ind w:firstLine="641"/>
        <w:jc w:val="left"/>
        <w:rPr>
          <w:rFonts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rPr>
        <w:t>23.1355</w:t>
      </w:r>
      <w:r>
        <w:rPr>
          <w:rFonts w:hint="eastAsia" w:ascii="仿宋_GB2312" w:hAnsi="楷体" w:eastAsia="仿宋_GB2312"/>
          <w:kern w:val="0"/>
          <w:sz w:val="32"/>
          <w:szCs w:val="32"/>
        </w:rPr>
        <w:t>万元。主要包括：办公费、电费、工会经费、福利费、其他交通费用。</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洪洞县教育科技局2022年政府性基金支出预算支出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。与上年预算数相同。</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洪洞县教育科技局2022年度一般公共预算拨款安排的“三公”经费预算支出中，因公出国（境）费支出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万元。主要原因与上年数相同。</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万元。其中：</w:t>
      </w:r>
    </w:p>
    <w:p>
      <w:pPr>
        <w:autoSpaceDE w:val="0"/>
        <w:autoSpaceDN w:val="0"/>
        <w:adjustRightInd w:val="0"/>
        <w:spacing w:line="560" w:lineRule="exact"/>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spacing w:line="560" w:lineRule="exact"/>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spacing w:line="560" w:lineRule="exact"/>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万元，主要原因与上年数相同。</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2022年本部门一般公共预算机关运行经费预算支出</w:t>
      </w:r>
      <w:r>
        <w:rPr>
          <w:rFonts w:hint="eastAsia" w:ascii="仿宋_GB2312" w:hAnsi="楷体" w:eastAsia="仿宋_GB2312"/>
          <w:kern w:val="0"/>
          <w:sz w:val="32"/>
          <w:szCs w:val="32"/>
          <w:u w:val="single"/>
        </w:rPr>
        <w:t>23.1355</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0.6755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3.01</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spacing w:line="560" w:lineRule="exact"/>
        <w:jc w:val="left"/>
        <w:rPr>
          <w:rFonts w:ascii="仿宋_GB2312" w:hAnsi="楷体" w:eastAsia="仿宋_GB2312"/>
          <w:kern w:val="0"/>
          <w:sz w:val="32"/>
          <w:szCs w:val="32"/>
        </w:rPr>
      </w:pPr>
      <w:r>
        <w:rPr>
          <w:rFonts w:hint="eastAsia" w:ascii="仿宋_GB2312" w:hAnsi="楷体" w:eastAsia="仿宋_GB2312"/>
          <w:kern w:val="0"/>
          <w:sz w:val="32"/>
          <w:szCs w:val="32"/>
        </w:rPr>
        <w:t>主要原因是：</w:t>
      </w:r>
      <w:r>
        <w:rPr>
          <w:rFonts w:hint="eastAsia" w:ascii="华文仿宋" w:hAnsi="华文仿宋" w:eastAsia="华文仿宋"/>
          <w:sz w:val="32"/>
          <w:szCs w:val="32"/>
        </w:rPr>
        <w:t>人员工资普调</w:t>
      </w:r>
      <w:r>
        <w:rPr>
          <w:rFonts w:hint="eastAsia" w:ascii="仿宋_GB2312" w:hAnsi="楷体" w:eastAsia="仿宋_GB2312"/>
          <w:kern w:val="0"/>
          <w:sz w:val="32"/>
          <w:szCs w:val="32"/>
        </w:rPr>
        <w:t>。</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autoSpaceDE w:val="0"/>
        <w:autoSpaceDN w:val="0"/>
        <w:adjustRightInd w:val="0"/>
        <w:spacing w:line="560" w:lineRule="exact"/>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2022年度政府采购支出预算总额</w:t>
      </w:r>
      <w:r>
        <w:rPr>
          <w:rFonts w:hint="eastAsia" w:ascii="仿宋_GB2312" w:hAnsi="楷体" w:eastAsia="仿宋_GB2312"/>
          <w:kern w:val="0"/>
          <w:sz w:val="32"/>
          <w:szCs w:val="32"/>
          <w:u w:val="single"/>
        </w:rPr>
        <w:t>2464.4056</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rPr>
        <w:t>8</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rPr>
        <w:t>585.83</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rPr>
        <w:t>1870.5756</w:t>
      </w:r>
      <w:r>
        <w:rPr>
          <w:rFonts w:hint="eastAsia" w:ascii="仿宋_GB2312" w:hAnsi="楷体" w:eastAsia="仿宋_GB2312"/>
          <w:kern w:val="0"/>
          <w:sz w:val="32"/>
          <w:szCs w:val="32"/>
        </w:rPr>
        <w:t>万元。</w:t>
      </w:r>
    </w:p>
    <w:p>
      <w:pPr>
        <w:autoSpaceDE w:val="0"/>
        <w:autoSpaceDN w:val="0"/>
        <w:adjustRightInd w:val="0"/>
        <w:spacing w:line="560" w:lineRule="exact"/>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十一、国有资产占用情况</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（一）车辆情况</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rPr>
        <w:t xml:space="preserve"> 0 </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rPr>
        <w:t xml:space="preserve"> 0 </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rPr>
        <w:t xml:space="preserve"> 0 </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rPr>
        <w:t xml:space="preserve"> 0 </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rPr>
        <w:t xml:space="preserve"> 0 </w:t>
      </w:r>
      <w:r>
        <w:rPr>
          <w:rFonts w:hint="eastAsia" w:ascii="仿宋_GB2312" w:hAnsi="楷体" w:eastAsia="仿宋_GB2312"/>
          <w:kern w:val="0"/>
          <w:sz w:val="32"/>
          <w:szCs w:val="32"/>
        </w:rPr>
        <w:t>辆等。</w:t>
      </w:r>
    </w:p>
    <w:p>
      <w:pPr>
        <w:numPr>
          <w:ilvl w:val="0"/>
          <w:numId w:val="1"/>
        </w:numPr>
        <w:autoSpaceDE w:val="0"/>
        <w:autoSpaceDN w:val="0"/>
        <w:adjustRightInd w:val="0"/>
        <w:ind w:firstLine="640"/>
        <w:jc w:val="left"/>
        <w:rPr>
          <w:rFonts w:ascii="仿宋_GB2312" w:hAnsi="楷体" w:eastAsia="仿宋_GB2312"/>
          <w:kern w:val="0"/>
          <w:sz w:val="32"/>
          <w:szCs w:val="32"/>
        </w:rPr>
      </w:pPr>
      <w:r>
        <w:rPr>
          <w:rFonts w:hint="eastAsia" w:ascii="仿宋_GB2312" w:hAnsi="楷体" w:eastAsia="仿宋_GB2312"/>
          <w:kern w:val="0"/>
          <w:sz w:val="32"/>
          <w:szCs w:val="32"/>
        </w:rPr>
        <w:t>房屋情况</w:t>
      </w:r>
    </w:p>
    <w:p>
      <w:pPr>
        <w:autoSpaceDE w:val="0"/>
        <w:autoSpaceDN w:val="0"/>
        <w:adjustRightInd w:val="0"/>
        <w:jc w:val="left"/>
        <w:rPr>
          <w:rFonts w:ascii="仿宋_GB2312" w:hAnsi="楷体" w:eastAsia="仿宋_GB2312"/>
          <w:kern w:val="0"/>
          <w:sz w:val="32"/>
          <w:szCs w:val="32"/>
        </w:rPr>
      </w:pPr>
      <w:r>
        <w:rPr>
          <w:rFonts w:hint="eastAsia" w:ascii="仿宋_GB2312" w:hAnsi="楷体" w:eastAsia="仿宋_GB2312"/>
          <w:kern w:val="0"/>
          <w:sz w:val="32"/>
          <w:szCs w:val="32"/>
        </w:rPr>
        <w:t xml:space="preserve">     本部门房屋</w:t>
      </w:r>
      <w:r>
        <w:rPr>
          <w:rFonts w:hint="eastAsia" w:ascii="仿宋_GB2312" w:hAnsi="楷体" w:eastAsia="仿宋_GB2312"/>
          <w:kern w:val="0"/>
          <w:sz w:val="32"/>
          <w:szCs w:val="32"/>
          <w:u w:val="single"/>
        </w:rPr>
        <w:t>3980</w:t>
      </w:r>
      <w:r>
        <w:rPr>
          <w:rFonts w:hint="eastAsia" w:ascii="仿宋_GB2312" w:hAnsi="楷体" w:eastAsia="仿宋_GB2312"/>
          <w:kern w:val="0"/>
          <w:sz w:val="32"/>
          <w:szCs w:val="32"/>
        </w:rPr>
        <w:t>平方米，金额</w:t>
      </w:r>
      <w:r>
        <w:rPr>
          <w:rFonts w:hint="eastAsia" w:ascii="仿宋_GB2312" w:hAnsi="楷体" w:eastAsia="仿宋_GB2312"/>
          <w:kern w:val="0"/>
          <w:sz w:val="32"/>
          <w:szCs w:val="32"/>
          <w:u w:val="single"/>
        </w:rPr>
        <w:t>248.7728</w:t>
      </w:r>
      <w:r>
        <w:rPr>
          <w:rFonts w:hint="eastAsia" w:ascii="仿宋_GB2312" w:hAnsi="楷体" w:eastAsia="仿宋_GB2312"/>
          <w:kern w:val="0"/>
          <w:sz w:val="32"/>
          <w:szCs w:val="32"/>
        </w:rPr>
        <w:t>万元。</w:t>
      </w:r>
    </w:p>
    <w:p>
      <w:pPr>
        <w:numPr>
          <w:ilvl w:val="0"/>
          <w:numId w:val="1"/>
        </w:numPr>
        <w:autoSpaceDE w:val="0"/>
        <w:autoSpaceDN w:val="0"/>
        <w:adjustRightInd w:val="0"/>
        <w:ind w:firstLine="640"/>
        <w:jc w:val="left"/>
        <w:rPr>
          <w:rFonts w:ascii="仿宋_GB2312" w:hAnsi="楷体" w:eastAsia="仿宋_GB2312"/>
          <w:kern w:val="0"/>
          <w:sz w:val="32"/>
          <w:szCs w:val="32"/>
        </w:rPr>
      </w:pPr>
      <w:r>
        <w:rPr>
          <w:rFonts w:hint="eastAsia" w:ascii="仿宋_GB2312" w:hAnsi="楷体" w:eastAsia="仿宋_GB2312"/>
          <w:kern w:val="0"/>
          <w:sz w:val="32"/>
          <w:szCs w:val="32"/>
        </w:rPr>
        <w:t>其他国有资产占有使用情况</w:t>
      </w:r>
    </w:p>
    <w:p>
      <w:pPr>
        <w:autoSpaceDE w:val="0"/>
        <w:autoSpaceDN w:val="0"/>
        <w:adjustRightInd w:val="0"/>
        <w:ind w:left="630" w:firstLine="320" w:firstLineChars="100"/>
        <w:jc w:val="left"/>
        <w:rPr>
          <w:rFonts w:ascii="仿宋_GB2312" w:hAnsi="楷体" w:eastAsia="仿宋_GB2312"/>
          <w:kern w:val="0"/>
          <w:sz w:val="32"/>
          <w:szCs w:val="32"/>
        </w:rPr>
      </w:pPr>
      <w:r>
        <w:rPr>
          <w:rFonts w:hint="eastAsia" w:ascii="仿宋_GB2312" w:hAnsi="楷体" w:eastAsia="仿宋_GB2312"/>
          <w:kern w:val="0"/>
          <w:sz w:val="32"/>
          <w:szCs w:val="32"/>
        </w:rPr>
        <w:t>本部门无其他国有资产占有使用情况。</w:t>
      </w:r>
    </w:p>
    <w:p>
      <w:pPr>
        <w:autoSpaceDE w:val="0"/>
        <w:autoSpaceDN w:val="0"/>
        <w:adjustRightInd w:val="0"/>
        <w:spacing w:line="560" w:lineRule="exact"/>
        <w:ind w:firstLine="640" w:firstLineChars="200"/>
        <w:jc w:val="left"/>
        <w:rPr>
          <w:rFonts w:ascii="黑体" w:hAnsi="楷体" w:eastAsia="黑体"/>
          <w:kern w:val="0"/>
          <w:sz w:val="32"/>
          <w:szCs w:val="32"/>
        </w:rPr>
      </w:pPr>
      <w:r>
        <w:rPr>
          <w:rFonts w:hint="eastAsia" w:ascii="黑体" w:hAnsi="楷体" w:eastAsia="黑体"/>
          <w:kern w:val="0"/>
          <w:sz w:val="32"/>
          <w:szCs w:val="32"/>
        </w:rPr>
        <w:t>十二、预算绩效目标设置情况说明</w:t>
      </w:r>
    </w:p>
    <w:p>
      <w:pPr>
        <w:autoSpaceDE w:val="0"/>
        <w:autoSpaceDN w:val="0"/>
        <w:adjustRightInd w:val="0"/>
        <w:spacing w:line="560" w:lineRule="exact"/>
        <w:ind w:firstLine="800" w:firstLineChars="250"/>
        <w:jc w:val="left"/>
        <w:rPr>
          <w:rFonts w:ascii="仿宋_GB2312" w:hAnsi="楷体" w:eastAsia="仿宋_GB2312"/>
          <w:kern w:val="0"/>
          <w:sz w:val="32"/>
          <w:szCs w:val="32"/>
          <w:highlight w:val="none"/>
        </w:rPr>
      </w:pPr>
      <w:r>
        <w:rPr>
          <w:rFonts w:hint="eastAsia" w:ascii="仿宋_GB2312" w:hAnsi="楷体" w:eastAsia="仿宋_GB2312"/>
          <w:kern w:val="0"/>
          <w:sz w:val="32"/>
          <w:szCs w:val="32"/>
          <w:highlight w:val="none"/>
        </w:rPr>
        <w:t>2022年度，本部门单位共</w:t>
      </w:r>
      <w:r>
        <w:rPr>
          <w:rFonts w:hint="eastAsia" w:ascii="仿宋_GB2312" w:hAnsi="楷体" w:eastAsia="仿宋_GB2312"/>
          <w:kern w:val="0"/>
          <w:sz w:val="32"/>
          <w:szCs w:val="32"/>
          <w:highlight w:val="none"/>
          <w:u w:val="single"/>
        </w:rPr>
        <w:t>3</w:t>
      </w:r>
      <w:r>
        <w:rPr>
          <w:rFonts w:hint="eastAsia" w:ascii="仿宋_GB2312" w:hAnsi="楷体" w:eastAsia="仿宋_GB2312"/>
          <w:kern w:val="0"/>
          <w:sz w:val="32"/>
          <w:szCs w:val="32"/>
          <w:highlight w:val="none"/>
          <w:u w:val="single"/>
          <w:lang w:val="en-US" w:eastAsia="zh-CN"/>
        </w:rPr>
        <w:t>8</w:t>
      </w:r>
      <w:r>
        <w:rPr>
          <w:rFonts w:hint="eastAsia" w:ascii="仿宋_GB2312" w:hAnsi="楷体" w:eastAsia="仿宋_GB2312"/>
          <w:kern w:val="0"/>
          <w:sz w:val="32"/>
          <w:szCs w:val="32"/>
          <w:highlight w:val="none"/>
        </w:rPr>
        <w:t>个项目纳入绩效目标管理，涉及财政性资金合计</w:t>
      </w:r>
      <w:r>
        <w:rPr>
          <w:rFonts w:hint="eastAsia" w:ascii="仿宋_GB2312" w:hAnsi="楷体" w:eastAsia="仿宋_GB2312"/>
          <w:kern w:val="0"/>
          <w:sz w:val="32"/>
          <w:szCs w:val="32"/>
          <w:highlight w:val="none"/>
          <w:u w:val="single"/>
        </w:rPr>
        <w:t>13505.7252</w:t>
      </w:r>
      <w:r>
        <w:rPr>
          <w:rFonts w:hint="eastAsia" w:ascii="仿宋_GB2312" w:hAnsi="楷体" w:eastAsia="仿宋_GB2312"/>
          <w:kern w:val="0"/>
          <w:sz w:val="32"/>
          <w:szCs w:val="32"/>
          <w:highlight w:val="none"/>
        </w:rPr>
        <w:t>万元。本部门单位整体支出（</w:t>
      </w:r>
      <w:r>
        <w:rPr>
          <w:rFonts w:hint="eastAsia" w:ascii="仿宋_GB2312" w:hAnsi="楷体" w:eastAsia="仿宋_GB2312"/>
          <w:kern w:val="0"/>
          <w:sz w:val="32"/>
          <w:szCs w:val="32"/>
          <w:highlight w:val="none"/>
        </w:rPr>
        <w:sym w:font="Wingdings" w:char="00FE"/>
      </w:r>
      <w:r>
        <w:rPr>
          <w:rFonts w:hint="eastAsia" w:ascii="仿宋_GB2312" w:hAnsi="楷体" w:eastAsia="仿宋_GB2312"/>
          <w:kern w:val="0"/>
          <w:sz w:val="32"/>
          <w:szCs w:val="32"/>
          <w:highlight w:val="none"/>
        </w:rPr>
        <w:t>纳入、□未纳入）绩效目标管理，涉及财政性资金</w:t>
      </w:r>
      <w:r>
        <w:rPr>
          <w:rFonts w:hint="eastAsia" w:ascii="仿宋_GB2312" w:hAnsi="楷体" w:eastAsia="仿宋_GB2312"/>
          <w:kern w:val="0"/>
          <w:sz w:val="32"/>
          <w:szCs w:val="32"/>
          <w:highlight w:val="none"/>
          <w:u w:val="single"/>
        </w:rPr>
        <w:t xml:space="preserve">   13505.7252</w:t>
      </w:r>
      <w:r>
        <w:rPr>
          <w:rFonts w:hint="eastAsia" w:ascii="仿宋_GB2312" w:hAnsi="楷体" w:eastAsia="仿宋_GB2312"/>
          <w:kern w:val="0"/>
          <w:sz w:val="32"/>
          <w:szCs w:val="32"/>
          <w:highlight w:val="none"/>
        </w:rPr>
        <w:t>万元。</w:t>
      </w:r>
    </w:p>
    <w:p>
      <w:pPr>
        <w:widowControl/>
        <w:numPr>
          <w:ilvl w:val="0"/>
          <w:numId w:val="2"/>
        </w:numPr>
        <w:spacing w:line="560" w:lineRule="exact"/>
        <w:ind w:firstLine="636"/>
        <w:rPr>
          <w:rFonts w:ascii="黑体" w:hAnsi="楷体" w:eastAsia="黑体"/>
          <w:kern w:val="0"/>
          <w:sz w:val="32"/>
          <w:szCs w:val="32"/>
        </w:rPr>
      </w:pPr>
      <w:r>
        <w:rPr>
          <w:rFonts w:hint="eastAsia" w:ascii="黑体" w:hAnsi="楷体" w:eastAsia="黑体"/>
          <w:kern w:val="0"/>
          <w:sz w:val="32"/>
          <w:szCs w:val="32"/>
        </w:rPr>
        <w:t>其他说明</w:t>
      </w:r>
    </w:p>
    <w:p>
      <w:pPr>
        <w:widowControl/>
        <w:spacing w:line="560" w:lineRule="exact"/>
        <w:ind w:firstLine="636"/>
        <w:rPr>
          <w:rFonts w:ascii="黑体" w:hAnsi="楷体" w:eastAsia="黑体"/>
          <w:kern w:val="0"/>
          <w:sz w:val="32"/>
          <w:szCs w:val="32"/>
        </w:rPr>
      </w:pPr>
      <w:r>
        <w:rPr>
          <w:rFonts w:hint="eastAsia" w:ascii="仿宋_GB2312" w:hAnsi="仿宋" w:eastAsia="仿宋_GB2312"/>
          <w:kern w:val="0"/>
          <w:sz w:val="32"/>
          <w:szCs w:val="32"/>
        </w:rPr>
        <w:t>（一）政府债券公开</w:t>
      </w:r>
    </w:p>
    <w:p>
      <w:pPr>
        <w:widowControl/>
        <w:spacing w:line="560" w:lineRule="exact"/>
        <w:ind w:firstLine="636"/>
        <w:rPr>
          <w:rFonts w:ascii="黑体" w:hAnsi="Times New Roman" w:eastAsia="黑体"/>
          <w:kern w:val="0"/>
          <w:sz w:val="32"/>
          <w:szCs w:val="32"/>
        </w:rPr>
      </w:pPr>
      <w:r>
        <w:rPr>
          <w:rFonts w:hint="eastAsia" w:ascii="仿宋_GB2312" w:hAnsi="黑体" w:eastAsia="仿宋_GB2312"/>
          <w:bCs/>
          <w:spacing w:val="-16"/>
          <w:kern w:val="0"/>
          <w:sz w:val="32"/>
          <w:szCs w:val="32"/>
        </w:rPr>
        <w:t>本部门未使用政府债券。</w:t>
      </w:r>
    </w:p>
    <w:p>
      <w:pPr>
        <w:widowControl/>
        <w:spacing w:line="560" w:lineRule="exact"/>
        <w:jc w:val="center"/>
        <w:rPr>
          <w:rFonts w:ascii="黑体" w:hAnsi="Times New Roman" w:eastAsia="黑体"/>
          <w:kern w:val="0"/>
          <w:sz w:val="32"/>
          <w:szCs w:val="32"/>
        </w:rPr>
      </w:pPr>
    </w:p>
    <w:p>
      <w:pPr>
        <w:widowControl/>
        <w:spacing w:line="560" w:lineRule="exact"/>
        <w:jc w:val="center"/>
        <w:rPr>
          <w:rFonts w:ascii="黑体" w:hAnsi="Times New Roman" w:eastAsia="黑体"/>
          <w:kern w:val="0"/>
          <w:sz w:val="32"/>
          <w:szCs w:val="32"/>
        </w:rPr>
      </w:pPr>
      <w:r>
        <w:rPr>
          <w:rFonts w:hint="eastAsia" w:ascii="黑体" w:hAnsi="Times New Roman" w:eastAsia="黑体"/>
          <w:kern w:val="0"/>
          <w:sz w:val="32"/>
          <w:szCs w:val="32"/>
        </w:rPr>
        <w:t>第四部分  名词解释</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七、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widowControl/>
        <w:spacing w:line="560" w:lineRule="exact"/>
        <w:ind w:firstLine="636"/>
        <w:rPr>
          <w:rFonts w:ascii="仿宋_GB2312" w:hAnsi="仿宋" w:eastAsia="仿宋_GB2312"/>
          <w:kern w:val="0"/>
          <w:sz w:val="32"/>
          <w:szCs w:val="32"/>
        </w:rPr>
      </w:pPr>
    </w:p>
    <w:p>
      <w:pPr>
        <w:widowControl/>
        <w:spacing w:line="560" w:lineRule="exact"/>
        <w:ind w:firstLine="636"/>
        <w:jc w:val="right"/>
        <w:rPr>
          <w:rFonts w:ascii="仿宋_GB2312" w:hAnsi="仿宋" w:eastAsia="仿宋_GB2312"/>
          <w:kern w:val="0"/>
          <w:sz w:val="32"/>
          <w:szCs w:val="32"/>
        </w:rPr>
      </w:pPr>
    </w:p>
    <w:p>
      <w:pPr>
        <w:spacing w:line="560" w:lineRule="exact"/>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137" w:h="777" w:hRule="exact" w:wrap="around" w:vAnchor="text" w:hAnchor="page" w:x="9140" w:y="-189"/>
      <w:rPr>
        <w:rStyle w:val="6"/>
        <w:sz w:val="28"/>
        <w:szCs w:val="28"/>
      </w:rPr>
    </w:pPr>
    <w:r>
      <w:rPr>
        <w:rStyle w:val="6"/>
        <w:rFonts w:hint="eastAsia"/>
        <w:sz w:val="28"/>
        <w:szCs w:val="28"/>
      </w:rPr>
      <w:t xml:space="preserve">— </w:t>
    </w: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1</w:t>
    </w:r>
    <w:r>
      <w:rPr>
        <w:sz w:val="28"/>
        <w:szCs w:val="28"/>
      </w:rPr>
      <w:fldChar w:fldCharType="end"/>
    </w:r>
    <w:r>
      <w:rPr>
        <w:rStyle w:val="6"/>
        <w:rFonts w:hint="eastAsia"/>
        <w:sz w:val="28"/>
        <w:szCs w:val="28"/>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02B082"/>
    <w:multiLevelType w:val="singleLevel"/>
    <w:tmpl w:val="8A02B082"/>
    <w:lvl w:ilvl="0" w:tentative="0">
      <w:start w:val="2"/>
      <w:numFmt w:val="chineseCounting"/>
      <w:suff w:val="nothing"/>
      <w:lvlText w:val="（%1）"/>
      <w:lvlJc w:val="left"/>
      <w:pPr>
        <w:ind w:left="-10"/>
      </w:pPr>
      <w:rPr>
        <w:rFonts w:hint="eastAsia"/>
      </w:rPr>
    </w:lvl>
  </w:abstractNum>
  <w:abstractNum w:abstractNumId="1">
    <w:nsid w:val="C0DAB0DE"/>
    <w:multiLevelType w:val="singleLevel"/>
    <w:tmpl w:val="C0DAB0DE"/>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6F0174"/>
    <w:rsid w:val="007003EA"/>
    <w:rsid w:val="00734329"/>
    <w:rsid w:val="00944EB0"/>
    <w:rsid w:val="00C83D44"/>
    <w:rsid w:val="00F37B17"/>
    <w:rsid w:val="02636FA7"/>
    <w:rsid w:val="054C21B6"/>
    <w:rsid w:val="05A60873"/>
    <w:rsid w:val="05B178CA"/>
    <w:rsid w:val="0604539D"/>
    <w:rsid w:val="09231A1B"/>
    <w:rsid w:val="0CC422B1"/>
    <w:rsid w:val="0D372CEB"/>
    <w:rsid w:val="11257D82"/>
    <w:rsid w:val="11853D1E"/>
    <w:rsid w:val="11B00187"/>
    <w:rsid w:val="11E47680"/>
    <w:rsid w:val="124E0517"/>
    <w:rsid w:val="128661C5"/>
    <w:rsid w:val="133F0A67"/>
    <w:rsid w:val="134F740C"/>
    <w:rsid w:val="13CB4C21"/>
    <w:rsid w:val="13DB6FB3"/>
    <w:rsid w:val="14AC3033"/>
    <w:rsid w:val="14C601A8"/>
    <w:rsid w:val="150A4617"/>
    <w:rsid w:val="1897320D"/>
    <w:rsid w:val="1A3E5547"/>
    <w:rsid w:val="1E751B3E"/>
    <w:rsid w:val="1FBF131B"/>
    <w:rsid w:val="20D54C64"/>
    <w:rsid w:val="2177288F"/>
    <w:rsid w:val="221E7F14"/>
    <w:rsid w:val="224562E1"/>
    <w:rsid w:val="22FC10BB"/>
    <w:rsid w:val="24425BB9"/>
    <w:rsid w:val="245D55CF"/>
    <w:rsid w:val="255823FA"/>
    <w:rsid w:val="25816F54"/>
    <w:rsid w:val="276940E2"/>
    <w:rsid w:val="28BC12D3"/>
    <w:rsid w:val="28FA29C6"/>
    <w:rsid w:val="293A7995"/>
    <w:rsid w:val="2AC44BD6"/>
    <w:rsid w:val="2B2B6D3D"/>
    <w:rsid w:val="2BBA7D56"/>
    <w:rsid w:val="2C327A82"/>
    <w:rsid w:val="2D0E0834"/>
    <w:rsid w:val="2D720E3E"/>
    <w:rsid w:val="2E8F4659"/>
    <w:rsid w:val="2F86728E"/>
    <w:rsid w:val="305C63F1"/>
    <w:rsid w:val="306C635A"/>
    <w:rsid w:val="315F5674"/>
    <w:rsid w:val="31D22563"/>
    <w:rsid w:val="37012D55"/>
    <w:rsid w:val="3735515D"/>
    <w:rsid w:val="380B1578"/>
    <w:rsid w:val="38CB20E2"/>
    <w:rsid w:val="3A3C526A"/>
    <w:rsid w:val="3A9259EB"/>
    <w:rsid w:val="3CD85AEA"/>
    <w:rsid w:val="3D0C160D"/>
    <w:rsid w:val="3E312313"/>
    <w:rsid w:val="3E564C85"/>
    <w:rsid w:val="3F0C74C9"/>
    <w:rsid w:val="40077F92"/>
    <w:rsid w:val="411D74FD"/>
    <w:rsid w:val="416143CE"/>
    <w:rsid w:val="42517B30"/>
    <w:rsid w:val="45A20B66"/>
    <w:rsid w:val="460B5319"/>
    <w:rsid w:val="476404E8"/>
    <w:rsid w:val="49AE340B"/>
    <w:rsid w:val="4B851881"/>
    <w:rsid w:val="4C7120BA"/>
    <w:rsid w:val="4F8A13D2"/>
    <w:rsid w:val="4FFD21B1"/>
    <w:rsid w:val="51310276"/>
    <w:rsid w:val="528E02B3"/>
    <w:rsid w:val="53C80CE3"/>
    <w:rsid w:val="53D23BC3"/>
    <w:rsid w:val="54AE5187"/>
    <w:rsid w:val="55A016D9"/>
    <w:rsid w:val="571E615B"/>
    <w:rsid w:val="58925699"/>
    <w:rsid w:val="59320D2D"/>
    <w:rsid w:val="598A6D5E"/>
    <w:rsid w:val="5AD27D9F"/>
    <w:rsid w:val="5D456345"/>
    <w:rsid w:val="5E5449A6"/>
    <w:rsid w:val="5EC9389C"/>
    <w:rsid w:val="60EC7488"/>
    <w:rsid w:val="616D1878"/>
    <w:rsid w:val="62B421B2"/>
    <w:rsid w:val="64EB3630"/>
    <w:rsid w:val="654526F6"/>
    <w:rsid w:val="65B810F3"/>
    <w:rsid w:val="69BA2BE4"/>
    <w:rsid w:val="69E74903"/>
    <w:rsid w:val="6AD06F7F"/>
    <w:rsid w:val="6C895C78"/>
    <w:rsid w:val="6FA6775F"/>
    <w:rsid w:val="6FE729A4"/>
    <w:rsid w:val="6FF20FCB"/>
    <w:rsid w:val="71101713"/>
    <w:rsid w:val="7138497F"/>
    <w:rsid w:val="71C94713"/>
    <w:rsid w:val="72973651"/>
    <w:rsid w:val="74A34F58"/>
    <w:rsid w:val="74AE29A4"/>
    <w:rsid w:val="758C5BB2"/>
    <w:rsid w:val="77232B68"/>
    <w:rsid w:val="78377586"/>
    <w:rsid w:val="78E1593B"/>
    <w:rsid w:val="7937201C"/>
    <w:rsid w:val="7C921343"/>
    <w:rsid w:val="7D233FED"/>
    <w:rsid w:val="7EDA4077"/>
    <w:rsid w:val="7FA41793"/>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719</Words>
  <Characters>4099</Characters>
  <Lines>34</Lines>
  <Paragraphs>9</Paragraphs>
  <TotalTime>24</TotalTime>
  <ScaleCrop>false</ScaleCrop>
  <LinksUpToDate>false</LinksUpToDate>
  <CharactersWithSpaces>4809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2022-02-20T03:03:00Z</dcterms:created>
  <dc:creator>Administrator</dc:creator>
  <cp:lastModifiedBy>米</cp:lastModifiedBy>
  <cp:lastPrinted>2022-02-24T02:31:00Z</cp:lastPrinted>
  <dcterms:modified xsi:type="dcterms:W3CDTF">2024-08-20T07:59:14Z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A1EF0D67F1F4402CA8E2149C4E23BD54</vt:lpwstr>
  </property>
</Properties>
</file>