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1E3C09">
      <w:pPr>
        <w:widowControl/>
        <w:spacing w:line="560" w:lineRule="exact"/>
        <w:ind w:firstLine="636"/>
        <w:jc w:val="center"/>
        <w:rPr>
          <w:rFonts w:hint="eastAsia" w:ascii="方正小标宋简体" w:hAnsi="仿宋" w:eastAsia="方正小标宋简体" w:cs="宋体"/>
          <w:b w:val="0"/>
          <w:bCs/>
          <w:kern w:val="0"/>
          <w:sz w:val="44"/>
          <w:szCs w:val="44"/>
          <w:lang w:eastAsia="zh-CN"/>
        </w:rPr>
      </w:pPr>
      <w:bookmarkStart w:id="0" w:name="_GoBack"/>
      <w:bookmarkEnd w:id="0"/>
      <w:r>
        <w:rPr>
          <w:rFonts w:hint="eastAsia" w:ascii="方正小标宋简体" w:hAnsi="仿宋" w:eastAsia="方正小标宋简体" w:cs="宋体"/>
          <w:b w:val="0"/>
          <w:bCs/>
          <w:kern w:val="0"/>
          <w:sz w:val="44"/>
          <w:szCs w:val="44"/>
          <w:lang w:eastAsia="zh-CN"/>
        </w:rPr>
        <w:t>洪洞县农业农村局</w:t>
      </w:r>
    </w:p>
    <w:p w14:paraId="2115CA3E">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14:paraId="5DC7FFCA">
      <w:pPr>
        <w:keepNext w:val="0"/>
        <w:keepLines w:val="0"/>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Dotum" w:eastAsia="方正小标宋简体" w:cs="Dotum"/>
          <w:b w:val="0"/>
          <w:bCs w:val="0"/>
          <w:kern w:val="0"/>
          <w:sz w:val="44"/>
          <w:szCs w:val="44"/>
        </w:rPr>
      </w:pPr>
    </w:p>
    <w:p w14:paraId="59341306">
      <w:pPr>
        <w:keepNext w:val="0"/>
        <w:keepLines w:val="0"/>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14:paraId="40AC478B">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14:paraId="4C24D08F">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14:paraId="725A0D92">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14:paraId="625D3D95">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14:paraId="01269D4D">
      <w:pPr>
        <w:keepNext w:val="0"/>
        <w:keepLines w:val="0"/>
        <w:pageBreakBefore w:val="0"/>
        <w:widowControl/>
        <w:kinsoku/>
        <w:wordWrap/>
        <w:overflowPunct/>
        <w:topLinePunct w:val="0"/>
        <w:bidi w:val="0"/>
        <w:snapToGrid/>
        <w:spacing w:line="560" w:lineRule="exact"/>
        <w:ind w:firstLine="64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14:paraId="0529B00A">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14:paraId="4AB9BF34">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14:paraId="56D48B69">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14:paraId="6F807EDA">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14:paraId="07A22921">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14:paraId="128C162A">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14:paraId="2D74EB7F">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w:t>
      </w:r>
      <w:r>
        <w:rPr>
          <w:rFonts w:hint="eastAsia" w:ascii="仿宋_GB2312" w:hAnsi="楷体" w:eastAsia="仿宋_GB2312"/>
          <w:kern w:val="0"/>
          <w:sz w:val="32"/>
          <w:szCs w:val="32"/>
          <w:lang w:eastAsia="zh-CN"/>
        </w:rPr>
        <w:t>收入</w:t>
      </w:r>
      <w:r>
        <w:rPr>
          <w:rFonts w:hint="eastAsia" w:ascii="仿宋_GB2312" w:hAnsi="楷体" w:eastAsia="仿宋_GB2312"/>
          <w:kern w:val="0"/>
          <w:sz w:val="32"/>
          <w:szCs w:val="32"/>
        </w:rPr>
        <w:t>预算表</w:t>
      </w:r>
    </w:p>
    <w:p w14:paraId="2BACCA5E">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14:paraId="1CCBEC85">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eastAsia="zh-CN"/>
        </w:rPr>
        <w:t>九</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14:paraId="04E77ADC">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eastAsia="zh-CN"/>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年2022年</w:t>
      </w:r>
      <w:r>
        <w:rPr>
          <w:rFonts w:hint="eastAsia" w:ascii="仿宋_GB2312" w:hAnsi="仿宋" w:eastAsia="仿宋_GB2312" w:cs="宋体"/>
          <w:kern w:val="0"/>
          <w:sz w:val="32"/>
          <w:szCs w:val="32"/>
        </w:rPr>
        <w:t>政府购买服务预算明细表</w:t>
      </w:r>
      <w:r>
        <w:rPr>
          <w:rFonts w:hint="eastAsia" w:ascii="仿宋_GB2312" w:hAnsi="仿宋" w:eastAsia="仿宋_GB2312" w:cs="宋体"/>
          <w:kern w:val="0"/>
          <w:sz w:val="32"/>
          <w:szCs w:val="32"/>
          <w:lang w:eastAsia="zh-CN"/>
        </w:rPr>
        <w:t>。</w:t>
      </w:r>
    </w:p>
    <w:p w14:paraId="40950FE6">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仿宋" w:eastAsia="仿宋_GB2312" w:cs="宋体"/>
          <w:kern w:val="0"/>
          <w:sz w:val="32"/>
          <w:szCs w:val="32"/>
          <w:lang w:val="en-US" w:eastAsia="zh-CN"/>
        </w:rPr>
        <w:t>十一、</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14:paraId="29552CE2">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val="en-US" w:eastAsia="zh-CN"/>
        </w:rPr>
        <w:t>二</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14:paraId="3281B9DB">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val="en-US" w:eastAsia="zh-CN"/>
        </w:rPr>
        <w:t>三</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14:paraId="1287E455">
      <w:pPr>
        <w:pStyle w:val="2"/>
        <w:rPr>
          <w:rFonts w:hint="eastAsia" w:ascii="黑体" w:hAnsi="Times New Roman" w:eastAsia="黑体"/>
          <w:kern w:val="0"/>
          <w:sz w:val="32"/>
          <w:szCs w:val="32"/>
        </w:rPr>
      </w:pPr>
      <w:r>
        <w:rPr>
          <w:rFonts w:hint="eastAsia" w:ascii="仿宋_GB2312" w:hAnsi="楷体" w:eastAsia="仿宋_GB2312"/>
          <w:kern w:val="0"/>
          <w:sz w:val="32"/>
          <w:szCs w:val="32"/>
          <w:lang w:eastAsia="zh-CN"/>
        </w:rPr>
        <w:t>十</w:t>
      </w:r>
      <w:r>
        <w:rPr>
          <w:rFonts w:hint="eastAsia" w:ascii="仿宋_GB2312" w:hAnsi="楷体" w:eastAsia="仿宋_GB2312"/>
          <w:kern w:val="0"/>
          <w:sz w:val="32"/>
          <w:szCs w:val="32"/>
          <w:lang w:val="en-US" w:eastAsia="zh-CN"/>
        </w:rPr>
        <w:t>四</w:t>
      </w:r>
      <w:r>
        <w:rPr>
          <w:rFonts w:hint="eastAsia" w:ascii="仿宋_GB2312" w:hAnsi="楷体" w:eastAsia="仿宋_GB2312"/>
          <w:kern w:val="0"/>
          <w:sz w:val="32"/>
          <w:szCs w:val="32"/>
          <w:lang w:eastAsia="zh-CN"/>
        </w:rPr>
        <w:t>、</w:t>
      </w:r>
      <w:r>
        <w:rPr>
          <w:rFonts w:hint="eastAsia" w:ascii="仿宋_GB2312" w:eastAsia="仿宋_GB2312"/>
          <w:sz w:val="32"/>
          <w:szCs w:val="32"/>
          <w:lang w:eastAsia="zh-CN"/>
        </w:rPr>
        <w:t>洪洞县农业农村局</w:t>
      </w:r>
      <w:r>
        <w:rPr>
          <w:rFonts w:hint="eastAsia" w:ascii="仿宋_GB2312" w:eastAsia="仿宋_GB2312"/>
          <w:sz w:val="32"/>
          <w:szCs w:val="32"/>
        </w:rPr>
        <w:t>2022年国有资本经营预算收支预算表</w:t>
      </w:r>
    </w:p>
    <w:p w14:paraId="728769A3">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14:paraId="49D83235">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14:paraId="78FE60E6">
      <w:pPr>
        <w:widowControl/>
        <w:spacing w:line="560" w:lineRule="exact"/>
        <w:ind w:firstLine="636"/>
        <w:jc w:val="center"/>
        <w:rPr>
          <w:rFonts w:hint="eastAsia" w:ascii="方正小标宋简体" w:hAnsi="仿宋" w:eastAsia="方正小标宋简体" w:cs="宋体"/>
          <w:b w:val="0"/>
          <w:bCs/>
          <w:kern w:val="0"/>
          <w:sz w:val="44"/>
          <w:szCs w:val="44"/>
          <w:lang w:eastAsia="zh-CN"/>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14:paraId="2E8EBBA9">
      <w:pPr>
        <w:widowControl/>
        <w:spacing w:line="560" w:lineRule="exact"/>
        <w:ind w:firstLine="636"/>
        <w:jc w:val="center"/>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lang w:eastAsia="zh-CN"/>
        </w:rPr>
        <w:t>洪洞县农业农村局</w:t>
      </w:r>
    </w:p>
    <w:p w14:paraId="33F6B31F">
      <w:pPr>
        <w:widowControl/>
        <w:spacing w:line="560" w:lineRule="exact"/>
        <w:ind w:firstLine="636"/>
        <w:jc w:val="center"/>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rPr>
        <w:t>202</w:t>
      </w:r>
      <w:r>
        <w:rPr>
          <w:rFonts w:hint="eastAsia" w:ascii="方正小标宋简体" w:hAnsi="仿宋" w:eastAsia="方正小标宋简体" w:cs="宋体"/>
          <w:b w:val="0"/>
          <w:bCs/>
          <w:kern w:val="0"/>
          <w:sz w:val="44"/>
          <w:szCs w:val="44"/>
          <w:lang w:val="en-US" w:eastAsia="zh-CN"/>
        </w:rPr>
        <w:t>2</w:t>
      </w:r>
      <w:r>
        <w:rPr>
          <w:rFonts w:hint="eastAsia" w:ascii="方正小标宋简体" w:hAnsi="仿宋" w:eastAsia="方正小标宋简体" w:cs="宋体"/>
          <w:b w:val="0"/>
          <w:bCs/>
          <w:kern w:val="0"/>
          <w:sz w:val="44"/>
          <w:szCs w:val="44"/>
        </w:rPr>
        <w:t>年部门预算公开</w:t>
      </w:r>
    </w:p>
    <w:p w14:paraId="1EF17DEF">
      <w:pPr>
        <w:widowControl/>
        <w:spacing w:line="560" w:lineRule="exact"/>
        <w:ind w:firstLine="636"/>
        <w:jc w:val="center"/>
        <w:rPr>
          <w:rFonts w:hint="eastAsia" w:ascii="方正小标宋简体" w:hAnsi="楷体" w:eastAsia="方正小标宋简体"/>
          <w:b/>
          <w:kern w:val="0"/>
          <w:sz w:val="44"/>
          <w:szCs w:val="44"/>
        </w:rPr>
      </w:pPr>
    </w:p>
    <w:p w14:paraId="661D06EF">
      <w:pPr>
        <w:keepNext w:val="0"/>
        <w:keepLines w:val="0"/>
        <w:pageBreakBefore w:val="0"/>
        <w:widowControl/>
        <w:kinsoku/>
        <w:wordWrap/>
        <w:overflowPunct/>
        <w:topLinePunct w:val="0"/>
        <w:bidi w:val="0"/>
        <w:snapToGrid/>
        <w:spacing w:line="560" w:lineRule="exact"/>
        <w:ind w:firstLine="636"/>
        <w:jc w:val="both"/>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第一部分  部门概况</w:t>
      </w:r>
    </w:p>
    <w:p w14:paraId="0CBD2608">
      <w:pPr>
        <w:keepNext w:val="0"/>
        <w:keepLines w:val="0"/>
        <w:pageBreakBefore w:val="0"/>
        <w:widowControl/>
        <w:kinsoku/>
        <w:wordWrap/>
        <w:overflowPunct/>
        <w:topLinePunct w:val="0"/>
        <w:bidi w:val="0"/>
        <w:snapToGrid/>
        <w:spacing w:line="560" w:lineRule="exact"/>
        <w:ind w:firstLine="636"/>
        <w:textAlignment w:val="auto"/>
        <w:rPr>
          <w:rFonts w:hint="eastAsia" w:ascii="黑体" w:hAnsi="楷体" w:eastAsia="黑体"/>
          <w:kern w:val="0"/>
          <w:sz w:val="32"/>
          <w:szCs w:val="32"/>
        </w:rPr>
      </w:pPr>
      <w:r>
        <w:rPr>
          <w:rFonts w:hint="eastAsia" w:ascii="黑体" w:hAnsi="楷体" w:eastAsia="黑体"/>
          <w:kern w:val="0"/>
          <w:sz w:val="32"/>
          <w:szCs w:val="32"/>
        </w:rPr>
        <w:t>一、主要职能</w:t>
      </w:r>
    </w:p>
    <w:p w14:paraId="456F87DB">
      <w:pPr>
        <w:keepNext w:val="0"/>
        <w:keepLines w:val="0"/>
        <w:pageBreakBefore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一）贯彻落实党中央、国务院和省委省政府、市政府农业和农村工作的方针、政策。研究拟定全县农业和农村经济发展战略、中长期发展规划，农业开发规划并组织实施。贯彻落实农业、农垦和农村经济等各项法规，推进农业依法行政。</w:t>
      </w:r>
    </w:p>
    <w:p w14:paraId="0CF9B517">
      <w:pPr>
        <w:keepNext w:val="0"/>
        <w:keepLines w:val="0"/>
        <w:pageBreakBefore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二）指导粮食等主要农产品生产，组织落实促进粮食等主要农产品生产发展的相关政策措施，引导农业产业结构的合理调整、农业资源的合理配置和农产品质量的改善。会同有关部门指导农业标准化、规模化生产。提出全县农副产品的农业生产资料价格、农村信贷、税收及财政补贴政策建议。</w:t>
      </w:r>
    </w:p>
    <w:p w14:paraId="2B5EE14E">
      <w:pPr>
        <w:keepNext w:val="0"/>
        <w:keepLines w:val="0"/>
        <w:pageBreakBefore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三）研究提出深化农村经济体制改革和完善农村基本经营制度的意见和建议，指导农村土地承包、耕地使用权流转和承包纠纷促裁管理。指导、监督减轻农民负担和村民筹资筹劳管理工作，指导农村集体资产和财务管理。指导全县农业社会化服务体系、乡村集体经济组织、农民专业合作社和农产品行业协会的建设与发展。</w:t>
      </w:r>
    </w:p>
    <w:p w14:paraId="15C869A8">
      <w:pPr>
        <w:keepNext w:val="0"/>
        <w:keepLines w:val="0"/>
        <w:pageBreakBefore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四）促进农业产前、产中、产后一体化发展，拟定促进农产品加工业发展规划并组织实施。提出农业产业保护政策建议。指导农产品加工业结构调整、技术创新和服务体系建设。提出促进大宗农产品流通的政策建议，研究制定大宗农产品市场体系建设与发展规划，培育、保护和发展农产品品牌。</w:t>
      </w:r>
    </w:p>
    <w:p w14:paraId="4B8022AE">
      <w:pPr>
        <w:keepNext w:val="0"/>
        <w:keepLines w:val="0"/>
        <w:pageBreakBefore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五）按照职责权限对本辖区农产品质量安全状况进行监管。制定并组织实施农产品质量安全监测计划，对生产中或市场上销售的农产品进行监督抽查。参与制定农产品质量安全标准并会同有关部门组织实施。指导全县农业检验检测体系建设。依法实施符合安全标准的农产品认证工作和监督管理。组织农产品质量安全的监督管理。</w:t>
      </w:r>
    </w:p>
    <w:p w14:paraId="641B07CB">
      <w:pPr>
        <w:keepNext w:val="0"/>
        <w:keepLines w:val="0"/>
        <w:pageBreakBefore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（六）组织协调农业生产资料市场体系建设。依法开展农作物种子（种苗）、农药等监督管理，拟定农业生产资料标准并会同有关部门监督实施。</w:t>
      </w:r>
    </w:p>
    <w:p w14:paraId="48B86AB0">
      <w:pPr>
        <w:keepNext w:val="0"/>
        <w:keepLines w:val="0"/>
        <w:pageBreakBefore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（七）负责农作物重大病虫害防治。落实植物检疫政策，指导植物检疫体系建设。组织、监督对全县植物的防疫检疫工作，发布疫情并组织扑灭。签发植物检疫证书，承办授权范围内引种检疫和调运检疫手续。</w:t>
      </w:r>
    </w:p>
    <w:p w14:paraId="30F3DB1E">
      <w:pPr>
        <w:keepNext w:val="0"/>
        <w:keepLines w:val="0"/>
        <w:pageBreakBefore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（八）承担农业防灾减灾的责任。监测、发布农业灾情，协调种子、化肥等救灾物资储备和调拨，提出生产救灾资金安排建议，指导紧急救灾和灾后生产恢复。</w:t>
      </w:r>
    </w:p>
    <w:p w14:paraId="25FB25BA">
      <w:pPr>
        <w:keepNext w:val="0"/>
        <w:keepLines w:val="0"/>
        <w:pageBreakBefore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（九）管理农业和农村经济信息工作，监测分析农业和农村经济运行，开展相关农业统计工作。发布农业和农村经济信息，负责农业信息体系建设，指导农业信息服务。</w:t>
      </w:r>
    </w:p>
    <w:p w14:paraId="0316932E">
      <w:pPr>
        <w:keepNext w:val="0"/>
        <w:keepLines w:val="0"/>
        <w:pageBreakBefore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十）贯彻落实农业科研、农技推广规划和有关政策，实施科教兴农战略。指导农业产业技术体系和农技推广体系的改革建设，组织实施农业领域的高新技术和应用技术研究、重大科研技术推广项目的筛选、农业科技成果转化和技术推广。负责农作物新品种保护和农业转基因生物安全监督管理。</w:t>
      </w:r>
    </w:p>
    <w:p w14:paraId="1363C411">
      <w:pPr>
        <w:keepNext w:val="0"/>
        <w:keepLines w:val="0"/>
        <w:pageBreakBefore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十一）会同有关部门拟定农业农村人才队伍建设规划并组织实施，指导农民教育和农业职业技能开发工作，参与实施农村实用人才培训工程。承担农村劳动力转移就业培训工作，会同有关部门依法实施农业农村人才专业技术资格和从业资格管理。</w:t>
      </w:r>
    </w:p>
    <w:p w14:paraId="07D5C09C">
      <w:pPr>
        <w:keepNext w:val="0"/>
        <w:keepLines w:val="0"/>
        <w:pageBreakBefore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十二）组织农业资源区划工作，指导农用地、草地、宜农滩涂、宜农湿地以及农业生物物种资源的保护和管理。贯彻落实全省耕地及基本农田质量保护与改良政策，依法管理耕地质量，运用工程设施、农艺、农机、生物等措施发展节水农业。</w:t>
      </w:r>
    </w:p>
    <w:p w14:paraId="79F2ED9A">
      <w:pPr>
        <w:keepNext w:val="0"/>
        <w:keepLines w:val="0"/>
        <w:pageBreakBefore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十三）制定并实施农业生态建设规划，指导农村可再生能源综合开发与利用，指导农业生物质产业发展和农业农村节能减排，承担指导农业面源污染治理有关工作。划定农产品禁止生产区域，指导生态农业、循环农业的发展。牵头管理外来物种。</w:t>
      </w:r>
    </w:p>
    <w:p w14:paraId="64CFD53A">
      <w:pPr>
        <w:keepNext w:val="0"/>
        <w:keepLines w:val="0"/>
        <w:pageBreakBefore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（十四）实施行业管理，承担农机、畜牧、经管、扶贫、开发、农产品加工行政管理工作。</w:t>
      </w:r>
    </w:p>
    <w:p w14:paraId="39F4BA9A">
      <w:pPr>
        <w:keepNext w:val="0"/>
        <w:keepLines w:val="0"/>
        <w:pageBreakBefore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（十五）承担县委农村工作领导组的日常工作。</w:t>
      </w:r>
    </w:p>
    <w:p w14:paraId="10903C1A">
      <w:pPr>
        <w:keepNext w:val="0"/>
        <w:keepLines w:val="0"/>
        <w:pageBreakBefore w:val="0"/>
        <w:kinsoku/>
        <w:wordWrap/>
        <w:overflowPunct/>
        <w:topLinePunct w:val="0"/>
        <w:bidi w:val="0"/>
        <w:snapToGrid/>
        <w:spacing w:line="560" w:lineRule="exact"/>
        <w:ind w:firstLine="640" w:firstLineChars="200"/>
        <w:textAlignment w:val="auto"/>
      </w:pPr>
      <w:r>
        <w:rPr>
          <w:rFonts w:hint="eastAsia" w:ascii="仿宋" w:hAnsi="仿宋" w:eastAsia="仿宋"/>
          <w:sz w:val="32"/>
          <w:szCs w:val="32"/>
        </w:rPr>
        <w:t>（十六）承办县委、县政府交办的其他事项。</w:t>
      </w:r>
    </w:p>
    <w:p w14:paraId="634C207E">
      <w:pPr>
        <w:keepNext w:val="0"/>
        <w:keepLines w:val="0"/>
        <w:pageBreakBefore w:val="0"/>
        <w:widowControl/>
        <w:kinsoku/>
        <w:wordWrap/>
        <w:overflowPunct/>
        <w:topLinePunct w:val="0"/>
        <w:bidi w:val="0"/>
        <w:snapToGrid/>
        <w:spacing w:line="560" w:lineRule="exact"/>
        <w:ind w:firstLine="636"/>
        <w:textAlignment w:val="auto"/>
        <w:rPr>
          <w:rFonts w:hint="eastAsia" w:ascii="黑体" w:hAnsi="楷体" w:eastAsia="黑体"/>
          <w:kern w:val="0"/>
          <w:sz w:val="32"/>
          <w:szCs w:val="32"/>
        </w:rPr>
      </w:pPr>
      <w:r>
        <w:rPr>
          <w:rFonts w:hint="eastAsia" w:ascii="黑体" w:hAnsi="楷体" w:eastAsia="黑体"/>
          <w:kern w:val="0"/>
          <w:sz w:val="32"/>
          <w:szCs w:val="32"/>
        </w:rPr>
        <w:t>二、部门机构设置及预算单位构成情况</w:t>
      </w:r>
    </w:p>
    <w:p w14:paraId="2B8C207A">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Tahoma" w:eastAsia="仿宋_GB2312" w:cs="Times New Roman"/>
          <w:color w:val="auto"/>
          <w:sz w:val="32"/>
          <w:szCs w:val="32"/>
          <w:lang w:val="en-US" w:eastAsia="zh-CN" w:bidi="ar"/>
        </w:rPr>
      </w:pPr>
      <w:r>
        <w:rPr>
          <w:rFonts w:hint="eastAsia" w:ascii="仿宋_GB2312" w:hAnsi="楷体" w:eastAsia="仿宋_GB2312"/>
          <w:kern w:val="0"/>
          <w:sz w:val="32"/>
          <w:szCs w:val="32"/>
          <w:lang w:val="en-US" w:eastAsia="zh-CN"/>
        </w:rPr>
        <w:t>1、洪洞县</w:t>
      </w:r>
      <w:r>
        <w:rPr>
          <w:rFonts w:hint="eastAsia" w:ascii="仿宋_GB2312" w:hAnsi="楷体" w:eastAsia="仿宋_GB2312"/>
          <w:kern w:val="0"/>
          <w:sz w:val="32"/>
          <w:szCs w:val="32"/>
          <w:lang w:eastAsia="zh-CN"/>
        </w:rPr>
        <w:t>农业农村局</w:t>
      </w:r>
      <w:r>
        <w:rPr>
          <w:rFonts w:hint="eastAsia" w:ascii="仿宋_GB2312" w:hAnsi="楷体" w:eastAsia="仿宋_GB2312"/>
          <w:kern w:val="0"/>
          <w:sz w:val="32"/>
          <w:szCs w:val="32"/>
        </w:rPr>
        <w:t>根据部门职责分工，本部门内设机构</w:t>
      </w:r>
      <w:r>
        <w:rPr>
          <w:rFonts w:hint="eastAsia" w:ascii="仿宋_GB2312" w:hAnsi="仿宋_GB2312" w:eastAsia="仿宋_GB2312" w:cs="仿宋_GB2312"/>
          <w:color w:val="000000"/>
          <w:sz w:val="32"/>
          <w:szCs w:val="32"/>
          <w:shd w:val="clear" w:color="auto" w:fill="FFFFFF"/>
        </w:rPr>
        <w:t>一室五股，即办公室、人事教育股、农村工作股、产业信息股、扶贫开发股、政策法规股。</w:t>
      </w:r>
      <w:r>
        <w:rPr>
          <w:rFonts w:hint="eastAsia" w:ascii="仿宋_GB2312" w:hAnsi="楷体" w:eastAsia="仿宋_GB2312"/>
          <w:kern w:val="0"/>
          <w:sz w:val="32"/>
          <w:szCs w:val="32"/>
        </w:rPr>
        <w:t>本部门下属单位包括：</w:t>
      </w:r>
      <w:r>
        <w:rPr>
          <w:rFonts w:hint="eastAsia" w:ascii="仿宋_GB2312" w:hAnsi="楷体" w:eastAsia="仿宋_GB2312"/>
          <w:kern w:val="0"/>
          <w:sz w:val="32"/>
          <w:szCs w:val="32"/>
          <w:lang w:val="en-US" w:eastAsia="zh-CN"/>
        </w:rPr>
        <w:t>洪洞县现代农业发展中心、洪洞县</w:t>
      </w:r>
      <w:r>
        <w:rPr>
          <w:rFonts w:hint="eastAsia" w:ascii="仿宋_GB2312" w:hAnsi="仿宋_GB2312" w:eastAsia="仿宋_GB2312" w:cs="仿宋_GB2312"/>
          <w:color w:val="000000"/>
          <w:sz w:val="32"/>
          <w:szCs w:val="32"/>
          <w:shd w:val="clear" w:color="auto" w:fill="FFFFFF"/>
        </w:rPr>
        <w:t>扶贫开发中心、</w:t>
      </w:r>
      <w:r>
        <w:rPr>
          <w:rFonts w:hint="eastAsia" w:ascii="仿宋_GB2312" w:hAnsi="仿宋_GB2312" w:eastAsia="仿宋_GB2312" w:cs="仿宋_GB2312"/>
          <w:color w:val="000000"/>
          <w:sz w:val="32"/>
          <w:szCs w:val="32"/>
          <w:shd w:val="clear" w:color="auto" w:fill="FFFFFF"/>
          <w:lang w:val="en-US" w:eastAsia="zh-CN"/>
        </w:rPr>
        <w:t>洪洞县</w:t>
      </w:r>
      <w:r>
        <w:rPr>
          <w:rFonts w:hint="eastAsia" w:ascii="仿宋_GB2312" w:hAnsi="仿宋_GB2312" w:eastAsia="仿宋_GB2312" w:cs="仿宋_GB2312"/>
          <w:color w:val="000000"/>
          <w:sz w:val="32"/>
          <w:szCs w:val="32"/>
          <w:shd w:val="clear" w:color="auto" w:fill="FFFFFF"/>
        </w:rPr>
        <w:t>农业综合执法大队</w:t>
      </w:r>
      <w:r>
        <w:rPr>
          <w:rFonts w:hint="eastAsia" w:ascii="仿宋_GB2312" w:hAnsi="Tahoma" w:eastAsia="仿宋_GB2312" w:cs="Times New Roman"/>
          <w:color w:val="auto"/>
          <w:sz w:val="32"/>
          <w:szCs w:val="32"/>
          <w:lang w:val="en-US" w:eastAsia="zh-CN" w:bidi="ar"/>
        </w:rPr>
        <w:t>。</w:t>
      </w:r>
    </w:p>
    <w:p w14:paraId="14F53455">
      <w:pPr>
        <w:pStyle w:val="2"/>
        <w:rPr>
          <w:rFonts w:hint="default"/>
          <w:lang w:val="en-US" w:eastAsia="zh-CN"/>
        </w:rPr>
      </w:pP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从预算单位构成看，纳入本部门</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年部门汇总预算编制范围的预算单位共计</w:t>
      </w:r>
      <w:r>
        <w:rPr>
          <w:rFonts w:hint="eastAsia" w:ascii="仿宋_GB2312" w:hAnsi="楷体" w:eastAsia="仿宋_GB2312"/>
          <w:kern w:val="0"/>
          <w:sz w:val="32"/>
          <w:szCs w:val="32"/>
          <w:lang w:val="en-US" w:eastAsia="zh-CN"/>
        </w:rPr>
        <w:t>1</w:t>
      </w:r>
      <w:r>
        <w:rPr>
          <w:rFonts w:hint="eastAsia" w:ascii="仿宋_GB2312" w:hAnsi="楷体" w:eastAsia="仿宋_GB2312"/>
          <w:kern w:val="0"/>
          <w:sz w:val="32"/>
          <w:szCs w:val="32"/>
        </w:rPr>
        <w:t>个，具体包括：</w:t>
      </w:r>
      <w:r>
        <w:rPr>
          <w:rFonts w:hint="eastAsia" w:ascii="仿宋_GB2312" w:hAnsi="楷体" w:eastAsia="仿宋_GB2312"/>
          <w:kern w:val="0"/>
          <w:sz w:val="32"/>
          <w:szCs w:val="32"/>
          <w:lang w:eastAsia="zh-CN"/>
        </w:rPr>
        <w:t>洪洞县农业农村局</w:t>
      </w:r>
      <w:r>
        <w:rPr>
          <w:rFonts w:hint="eastAsia" w:ascii="仿宋_GB2312" w:hAnsi="楷体" w:eastAsia="仿宋_GB2312"/>
          <w:kern w:val="0"/>
          <w:sz w:val="32"/>
          <w:szCs w:val="32"/>
        </w:rPr>
        <w:t>部门本级</w:t>
      </w:r>
      <w:r>
        <w:rPr>
          <w:rFonts w:hint="eastAsia" w:ascii="仿宋_GB2312" w:hAnsi="楷体" w:eastAsia="仿宋_GB2312"/>
          <w:kern w:val="0"/>
          <w:sz w:val="32"/>
          <w:szCs w:val="32"/>
          <w:lang w:val="en-US" w:eastAsia="zh-CN"/>
        </w:rPr>
        <w:t>。</w:t>
      </w:r>
    </w:p>
    <w:p w14:paraId="3F18443D">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Tahoma" w:eastAsia="仿宋_GB2312" w:cs="Times New Roman"/>
          <w:color w:val="auto"/>
          <w:sz w:val="32"/>
          <w:szCs w:val="32"/>
          <w:lang w:val="en-US" w:eastAsia="zh-CN" w:bidi="ar"/>
        </w:rPr>
      </w:pPr>
      <w:r>
        <w:rPr>
          <w:rFonts w:hint="eastAsia" w:ascii="仿宋_GB2312" w:hAnsi="Tahoma" w:eastAsia="仿宋_GB2312" w:cs="Times New Roman"/>
          <w:color w:val="auto"/>
          <w:sz w:val="32"/>
          <w:szCs w:val="32"/>
          <w:lang w:val="en-US" w:eastAsia="zh-CN" w:bidi="ar"/>
        </w:rPr>
        <w:t>洪洞县农业农村局现有干部职工118人，</w:t>
      </w:r>
      <w:r>
        <w:rPr>
          <w:rFonts w:hint="eastAsia" w:ascii="仿宋" w:hAnsi="仿宋" w:eastAsia="仿宋" w:cs="仿宋"/>
          <w:color w:val="auto"/>
          <w:sz w:val="32"/>
          <w:szCs w:val="32"/>
          <w:lang w:val="en-US" w:eastAsia="zh-CN"/>
        </w:rPr>
        <w:t>编制97人，行政编制14人，事业编制83人</w:t>
      </w:r>
      <w:r>
        <w:rPr>
          <w:rFonts w:hint="eastAsia" w:ascii="仿宋_GB2312" w:hAnsi="Tahoma" w:eastAsia="仿宋_GB2312" w:cs="Times New Roman"/>
          <w:color w:val="auto"/>
          <w:sz w:val="32"/>
          <w:szCs w:val="32"/>
          <w:lang w:val="en-US" w:eastAsia="zh-CN" w:bidi="ar"/>
        </w:rPr>
        <w:t>。实有在职行政23人，事业95人。单位车辆编制数2辆，实有车辆21辆。</w:t>
      </w:r>
    </w:p>
    <w:p w14:paraId="5581F029">
      <w:pPr>
        <w:keepNext w:val="0"/>
        <w:keepLines w:val="0"/>
        <w:pageBreakBefore w:val="0"/>
        <w:widowControl/>
        <w:kinsoku/>
        <w:wordWrap/>
        <w:overflowPunct/>
        <w:topLinePunct w:val="0"/>
        <w:bidi w:val="0"/>
        <w:snapToGrid/>
        <w:spacing w:line="560" w:lineRule="exact"/>
        <w:ind w:firstLine="635"/>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rPr>
        <w:t>202</w:t>
      </w:r>
      <w:r>
        <w:rPr>
          <w:rFonts w:hint="eastAsia" w:ascii="黑体" w:hAnsi="Times New Roman" w:eastAsia="黑体"/>
          <w:kern w:val="0"/>
          <w:sz w:val="32"/>
          <w:szCs w:val="32"/>
          <w:lang w:val="en-US" w:eastAsia="zh-CN"/>
        </w:rPr>
        <w:t>2</w:t>
      </w:r>
      <w:r>
        <w:rPr>
          <w:rFonts w:hint="eastAsia" w:ascii="黑体" w:hAnsi="Times New Roman" w:eastAsia="黑体" w:cs="FZHTK--GBK1-0"/>
          <w:kern w:val="0"/>
          <w:sz w:val="32"/>
          <w:szCs w:val="32"/>
        </w:rPr>
        <w:t>年部门主要工作任务及目标</w:t>
      </w:r>
    </w:p>
    <w:p w14:paraId="398966C0">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lang w:eastAsia="zh-CN"/>
        </w:rPr>
        <w:t>一是抓好粮食生产。按照“稳定面积、提高单产、确保总产”的工作思路，以高标准农田项目建设为引领，加快推动农田基础设施提档升级，综合应用田间实用生产技术，充分挖掘农田增收潜力，扎实开展好省级小麦完全成本保险和未转移就业种植收入损失保险试点工作，提升粮食安全抗风险能力，确保全年粮食播种面积稳定在122.5万亩以上, 正常年景总产稳定在7.26亿斤以上。</w:t>
      </w:r>
    </w:p>
    <w:p w14:paraId="67552335">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lang w:eastAsia="zh-CN"/>
        </w:rPr>
        <w:t>二是打造特色产业典型。按照“培育典型，以点带面，全面发展”的原则，依托7个特色产业集群，突出重点，下大力气打造山西硒康乐富硒小麦示范基地，南垣红薯示范基地，双赢合作社和东舜农业公司药材示范基地，南段种植合作社食用菌示范基地，刘家垣玉露香梨示范基地，汾河牡丹公司药茶示范基地，弘昌养殖和中士干果农牧生态循环示范基地。通过基地示范带动，开创我县特色产业发展新局面。</w:t>
      </w:r>
    </w:p>
    <w:p w14:paraId="0C278756">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lang w:eastAsia="zh-CN"/>
        </w:rPr>
        <w:t>三是培育县域农业品牌。利用好2020年品牌宣传、直播带货的良好局面，加大对县域品牌的打造推介力度，继续开展省市级功能农产品培育申报工作，2021年力争培育省级功能农产品1个（山西众一农业科技股份有限公司生产，麦纤粉），市级1个（洪洞县广和聚酿造有限公司，“博蕈牌蘑菇醋”系列产品）；完成“三品一标”产品认证15个（其中：有机食品1个、绿色食品1个、无公害农产品13个），认证面积6万亩。加快省市级农业产业化龙头企业推荐申报进度，研究出台激励办法，加大政策和资金扶持力度，努力扩大市级龙头企业队伍，为培育发展省级、国家级龙头企业打好基础，2021年，争取新发展省级农业产业化龙头企业1家（临汾立港现代农业科技有限公司），市级2家（山西众一农业科技股份有限公司、洪洞县碧丰农业开发有限公司）。</w:t>
      </w:r>
    </w:p>
    <w:p w14:paraId="5660B305">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lang w:eastAsia="zh-CN"/>
        </w:rPr>
        <w:t>四是持续改善农村人居环境。在前期村庄清洁行动成效的基础上，持续加大对农村人居环境整治示范村的工作力度，深化整治重点，细化清洁任务，突出清理死角盲区，重点开展好5个省级美丽宜居示范村的创建工作，通过示范创建引领，在农村人居环境整治上取得新进展，总结提炼一批可复制、可推广的典型，引领带动其他村同步跟进，推动全县农村人居环境整治向纵深发展。农村厕所革命方面，在前一阶段调查摸底的基础上，结合上级下达任务，争取完成农村户厕改造10000座以上。</w:t>
      </w:r>
    </w:p>
    <w:p w14:paraId="47D7B087">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方正小标宋简体" w:hAnsi="楷体" w:eastAsia="方正小标宋简体"/>
          <w:b/>
          <w:kern w:val="0"/>
          <w:sz w:val="32"/>
          <w:szCs w:val="32"/>
        </w:rPr>
      </w:pPr>
      <w:r>
        <w:rPr>
          <w:rFonts w:hint="eastAsia" w:ascii="仿宋_GB2312" w:hAnsi="楷体" w:eastAsia="仿宋_GB2312"/>
          <w:kern w:val="0"/>
          <w:sz w:val="32"/>
          <w:szCs w:val="32"/>
          <w:lang w:eastAsia="zh-CN"/>
        </w:rPr>
        <w:t>五是推动项目建设。坚持把农业重点项目建设为一项重点工作来抓，认真履行主管部门职责，加大农业重点项目的服务指导力度，为项目单位送服务、解难题，加快立港紫番茄、牧原生猪养殖等大型项目建设进度，推动形成更多有效投资和工程实物量。实施好2020年度1.3万亩高标准农田建设任务，同时，围绕农业产业急需“补链、强链、延链”的短板，统筹资源配置，继续开展招商引资工作，引进大企业、大项目在洪洞落地，加快推动“富硒冬梨</w:t>
      </w:r>
      <w:r>
        <w:rPr>
          <w:rFonts w:hint="default" w:ascii="仿宋_GB2312" w:hAnsi="楷体" w:eastAsia="仿宋_GB2312"/>
          <w:kern w:val="0"/>
          <w:sz w:val="32"/>
          <w:szCs w:val="32"/>
          <w:lang w:val="en-US" w:eastAsia="zh-CN"/>
        </w:rPr>
        <w:t>”“</w:t>
      </w:r>
      <w:r>
        <w:rPr>
          <w:rFonts w:hint="eastAsia" w:ascii="仿宋_GB2312" w:hAnsi="楷体" w:eastAsia="仿宋_GB2312"/>
          <w:kern w:val="0"/>
          <w:sz w:val="32"/>
          <w:szCs w:val="32"/>
          <w:lang w:eastAsia="zh-CN"/>
        </w:rPr>
        <w:t>槐米药茶”生产加工项目在我县落地建设，带动农业产业实现新突破，为我县农业高质量转型发展奠定坚实基础。</w:t>
      </w:r>
    </w:p>
    <w:p w14:paraId="3038BB91">
      <w:pPr>
        <w:keepNext w:val="0"/>
        <w:keepLines w:val="0"/>
        <w:pageBreakBefore w:val="0"/>
        <w:widowControl/>
        <w:kinsoku/>
        <w:wordWrap/>
        <w:overflowPunct/>
        <w:topLinePunct w:val="0"/>
        <w:bidi w:val="0"/>
        <w:snapToGrid/>
        <w:spacing w:line="560" w:lineRule="exact"/>
        <w:ind w:firstLine="635"/>
        <w:jc w:val="both"/>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第二部分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年度部门预算表</w:t>
      </w:r>
    </w:p>
    <w:p w14:paraId="41993A15">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一、</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年预算收支总表</w:t>
      </w:r>
    </w:p>
    <w:p w14:paraId="2E793935">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年预算收入总表</w:t>
      </w:r>
    </w:p>
    <w:p w14:paraId="04EFCE34">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年预算支出总表</w:t>
      </w:r>
    </w:p>
    <w:p w14:paraId="4AC1B3BD">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四、</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年财政拨款收支总表</w:t>
      </w:r>
    </w:p>
    <w:p w14:paraId="74A00256">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五、</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年一般公共预算支出预算表</w:t>
      </w:r>
    </w:p>
    <w:p w14:paraId="5378A85B">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六、</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年一般公共预算安排基本支出分经济科目表</w:t>
      </w:r>
    </w:p>
    <w:p w14:paraId="189B349C">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七、</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w:t>
      </w:r>
      <w:r>
        <w:rPr>
          <w:rFonts w:hint="eastAsia" w:ascii="仿宋_GB2312" w:hAnsi="楷体" w:eastAsia="仿宋_GB2312"/>
          <w:kern w:val="0"/>
          <w:sz w:val="32"/>
          <w:szCs w:val="32"/>
          <w:lang w:eastAsia="zh-CN"/>
        </w:rPr>
        <w:t>收入</w:t>
      </w:r>
      <w:r>
        <w:rPr>
          <w:rFonts w:hint="eastAsia" w:ascii="仿宋_GB2312" w:hAnsi="楷体" w:eastAsia="仿宋_GB2312"/>
          <w:kern w:val="0"/>
          <w:sz w:val="32"/>
          <w:szCs w:val="32"/>
        </w:rPr>
        <w:t>预算表</w:t>
      </w:r>
    </w:p>
    <w:p w14:paraId="4AAE334F">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八</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年政府性基金预算支出预算表</w:t>
      </w:r>
    </w:p>
    <w:p w14:paraId="2467ADD9">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rPr>
      </w:pPr>
      <w:r>
        <w:rPr>
          <w:rFonts w:hint="eastAsia" w:ascii="仿宋_GB2312" w:hAnsi="楷体" w:eastAsia="仿宋_GB2312"/>
          <w:kern w:val="0"/>
          <w:sz w:val="32"/>
          <w:szCs w:val="32"/>
          <w:lang w:eastAsia="zh-CN"/>
        </w:rPr>
        <w:t>九</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政府采购支出预算表</w:t>
      </w:r>
    </w:p>
    <w:p w14:paraId="7A5436B4">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kern w:val="0"/>
          <w:sz w:val="32"/>
          <w:szCs w:val="32"/>
          <w:lang w:eastAsia="zh-CN"/>
        </w:rPr>
      </w:pPr>
      <w:r>
        <w:rPr>
          <w:rFonts w:hint="eastAsia" w:ascii="仿宋_GB2312" w:hAnsi="楷体" w:eastAsia="仿宋_GB2312"/>
          <w:kern w:val="0"/>
          <w:sz w:val="32"/>
          <w:szCs w:val="32"/>
          <w:lang w:val="en-US" w:eastAsia="zh-CN"/>
        </w:rPr>
        <w:t>十</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年2022年</w:t>
      </w:r>
      <w:r>
        <w:rPr>
          <w:rFonts w:hint="eastAsia" w:ascii="仿宋_GB2312" w:hAnsi="仿宋" w:eastAsia="仿宋_GB2312" w:cs="宋体"/>
          <w:kern w:val="0"/>
          <w:sz w:val="32"/>
          <w:szCs w:val="32"/>
        </w:rPr>
        <w:t>政府购买服务预算明细表</w:t>
      </w:r>
      <w:r>
        <w:rPr>
          <w:rFonts w:hint="eastAsia" w:ascii="仿宋_GB2312" w:hAnsi="仿宋" w:eastAsia="仿宋_GB2312" w:cs="宋体"/>
          <w:kern w:val="0"/>
          <w:sz w:val="32"/>
          <w:szCs w:val="32"/>
          <w:lang w:eastAsia="zh-CN"/>
        </w:rPr>
        <w:t>。</w:t>
      </w:r>
    </w:p>
    <w:p w14:paraId="646D4770">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楷体" w:eastAsia="仿宋_GB2312"/>
          <w:kern w:val="0"/>
          <w:sz w:val="32"/>
          <w:szCs w:val="32"/>
        </w:rPr>
      </w:pPr>
      <w:r>
        <w:rPr>
          <w:rFonts w:hint="eastAsia" w:ascii="仿宋_GB2312" w:hAnsi="仿宋" w:eastAsia="仿宋_GB2312" w:cs="宋体"/>
          <w:kern w:val="0"/>
          <w:sz w:val="32"/>
          <w:szCs w:val="32"/>
          <w:lang w:val="en-US" w:eastAsia="zh-CN"/>
        </w:rPr>
        <w:t>十一、</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一般公共预算机关运行经费支出预算表</w:t>
      </w:r>
    </w:p>
    <w:p w14:paraId="42873570">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val="en-US" w:eastAsia="zh-CN"/>
        </w:rPr>
        <w:t>二</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w:t>
      </w:r>
      <w:r>
        <w:rPr>
          <w:rFonts w:hint="eastAsia" w:ascii="仿宋_GB2312" w:hAnsi="仿宋" w:eastAsia="仿宋_GB2312" w:cs="宋体"/>
          <w:kern w:val="0"/>
          <w:sz w:val="32"/>
          <w:szCs w:val="32"/>
        </w:rPr>
        <w:t>一般公共预算</w:t>
      </w:r>
      <w:r>
        <w:rPr>
          <w:rFonts w:hint="eastAsia" w:ascii="仿宋_GB2312" w:hAnsi="楷体" w:eastAsia="仿宋_GB2312"/>
          <w:kern w:val="0"/>
          <w:sz w:val="32"/>
          <w:szCs w:val="32"/>
          <w:lang w:eastAsia="zh-CN"/>
        </w:rPr>
        <w:t>“三公”经费</w:t>
      </w:r>
      <w:r>
        <w:rPr>
          <w:rFonts w:hint="eastAsia" w:ascii="仿宋_GB2312" w:hAnsi="仿宋" w:eastAsia="仿宋_GB2312" w:cs="宋体"/>
          <w:kern w:val="0"/>
          <w:sz w:val="32"/>
          <w:szCs w:val="32"/>
        </w:rPr>
        <w:t>预算表</w:t>
      </w:r>
    </w:p>
    <w:p w14:paraId="1A508325">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十</w:t>
      </w:r>
      <w:r>
        <w:rPr>
          <w:rFonts w:hint="eastAsia" w:ascii="仿宋_GB2312" w:hAnsi="楷体" w:eastAsia="仿宋_GB2312"/>
          <w:kern w:val="0"/>
          <w:sz w:val="32"/>
          <w:szCs w:val="32"/>
          <w:lang w:val="en-US" w:eastAsia="zh-CN"/>
        </w:rPr>
        <w:t>三</w:t>
      </w:r>
      <w:r>
        <w:rPr>
          <w:rFonts w:hint="eastAsia" w:ascii="仿宋_GB2312" w:hAnsi="楷体" w:eastAsia="仿宋_GB2312"/>
          <w:kern w:val="0"/>
          <w:sz w:val="32"/>
          <w:szCs w:val="32"/>
        </w:rPr>
        <w:t>、</w:t>
      </w:r>
      <w:r>
        <w:rPr>
          <w:rFonts w:hint="eastAsia" w:ascii="仿宋_GB2312" w:eastAsia="仿宋_GB2312"/>
          <w:sz w:val="32"/>
          <w:szCs w:val="32"/>
          <w:lang w:eastAsia="zh-CN"/>
        </w:rPr>
        <w:t>洪洞县农业农村局</w:t>
      </w:r>
      <w:r>
        <w:rPr>
          <w:rFonts w:hint="eastAsia"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年财政项目支出绩效目标表</w:t>
      </w:r>
    </w:p>
    <w:p w14:paraId="3A060FA2">
      <w:pPr>
        <w:pStyle w:val="2"/>
        <w:rPr>
          <w:rFonts w:hint="eastAsia" w:ascii="黑体" w:hAnsi="Times New Roman" w:eastAsia="黑体"/>
          <w:kern w:val="0"/>
          <w:sz w:val="32"/>
          <w:szCs w:val="32"/>
        </w:rPr>
      </w:pPr>
      <w:r>
        <w:rPr>
          <w:rFonts w:hint="eastAsia" w:ascii="仿宋_GB2312" w:hAnsi="楷体" w:eastAsia="仿宋_GB2312"/>
          <w:kern w:val="0"/>
          <w:sz w:val="32"/>
          <w:szCs w:val="32"/>
          <w:lang w:eastAsia="zh-CN"/>
        </w:rPr>
        <w:t>十</w:t>
      </w:r>
      <w:r>
        <w:rPr>
          <w:rFonts w:hint="eastAsia" w:ascii="仿宋_GB2312" w:hAnsi="楷体" w:eastAsia="仿宋_GB2312"/>
          <w:kern w:val="0"/>
          <w:sz w:val="32"/>
          <w:szCs w:val="32"/>
          <w:lang w:val="en-US" w:eastAsia="zh-CN"/>
        </w:rPr>
        <w:t>四</w:t>
      </w:r>
      <w:r>
        <w:rPr>
          <w:rFonts w:hint="eastAsia" w:ascii="仿宋_GB2312" w:hAnsi="楷体" w:eastAsia="仿宋_GB2312"/>
          <w:kern w:val="0"/>
          <w:sz w:val="32"/>
          <w:szCs w:val="32"/>
          <w:lang w:eastAsia="zh-CN"/>
        </w:rPr>
        <w:t>、</w:t>
      </w:r>
      <w:r>
        <w:rPr>
          <w:rFonts w:hint="eastAsia" w:ascii="仿宋_GB2312" w:eastAsia="仿宋_GB2312"/>
          <w:sz w:val="32"/>
          <w:szCs w:val="32"/>
          <w:lang w:eastAsia="zh-CN"/>
        </w:rPr>
        <w:t>洪洞县农业农村局</w:t>
      </w:r>
      <w:r>
        <w:rPr>
          <w:rFonts w:hint="eastAsia" w:ascii="仿宋_GB2312" w:eastAsia="仿宋_GB2312"/>
          <w:sz w:val="32"/>
          <w:szCs w:val="32"/>
        </w:rPr>
        <w:t>2022年国有资本经营预算收支预算表</w:t>
      </w:r>
    </w:p>
    <w:p w14:paraId="0B51676C">
      <w:pPr>
        <w:keepNext w:val="0"/>
        <w:keepLines w:val="0"/>
        <w:pageBreakBefore w:val="0"/>
        <w:widowControl/>
        <w:kinsoku/>
        <w:wordWrap/>
        <w:overflowPunct/>
        <w:topLinePunct w:val="0"/>
        <w:bidi w:val="0"/>
        <w:snapToGrid/>
        <w:spacing w:line="560" w:lineRule="exact"/>
        <w:ind w:firstLine="635"/>
        <w:jc w:val="both"/>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第三部分 202</w:t>
      </w:r>
      <w:r>
        <w:rPr>
          <w:rFonts w:hint="eastAsia" w:ascii="方正小标宋简体" w:hAnsi="楷体" w:eastAsia="方正小标宋简体"/>
          <w:kern w:val="0"/>
          <w:sz w:val="36"/>
          <w:szCs w:val="36"/>
          <w:lang w:val="en-US" w:eastAsia="zh-CN"/>
        </w:rPr>
        <w:t>2</w:t>
      </w:r>
      <w:r>
        <w:rPr>
          <w:rFonts w:hint="eastAsia" w:ascii="方正小标宋简体" w:hAnsi="楷体" w:eastAsia="方正小标宋简体"/>
          <w:kern w:val="0"/>
          <w:sz w:val="36"/>
          <w:szCs w:val="36"/>
        </w:rPr>
        <w:t>年度部门预算情况说明</w:t>
      </w:r>
    </w:p>
    <w:p w14:paraId="467D751F">
      <w:pPr>
        <w:keepNext w:val="0"/>
        <w:keepLines w:val="0"/>
        <w:pageBreakBefore w:val="0"/>
        <w:widowControl/>
        <w:kinsoku/>
        <w:wordWrap/>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14:paraId="50206B3D">
      <w:pPr>
        <w:keepNext w:val="0"/>
        <w:keepLines w:val="0"/>
        <w:pageBreakBefore w:val="0"/>
        <w:widowControl/>
        <w:kinsoku/>
        <w:wordWrap/>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洪洞县农业农村局</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7713.6491</w:t>
      </w:r>
      <w:r>
        <w:rPr>
          <w:rFonts w:hint="eastAsia" w:ascii="仿宋_GB2312" w:hAnsi="楷体" w:eastAsia="仿宋_GB2312"/>
          <w:kern w:val="0"/>
          <w:sz w:val="32"/>
          <w:szCs w:val="32"/>
        </w:rPr>
        <w:t>万元，与上年相比收、支预算总计各</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787.7409</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9.27</w:t>
      </w:r>
      <w:r>
        <w:rPr>
          <w:rFonts w:ascii="仿宋_GB2312" w:hAnsi="楷体" w:eastAsia="仿宋_GB2312"/>
          <w:kern w:val="0"/>
          <w:sz w:val="32"/>
          <w:szCs w:val="32"/>
        </w:rPr>
        <w:t>%</w:t>
      </w:r>
      <w:r>
        <w:rPr>
          <w:rFonts w:hint="eastAsia" w:ascii="仿宋_GB2312" w:hAnsi="楷体" w:eastAsia="仿宋_GB2312"/>
          <w:kern w:val="0"/>
          <w:sz w:val="32"/>
          <w:szCs w:val="32"/>
        </w:rPr>
        <w:t>。其中：</w:t>
      </w:r>
    </w:p>
    <w:p w14:paraId="235237FE">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7713.6491</w:t>
      </w:r>
      <w:r>
        <w:rPr>
          <w:rFonts w:hint="eastAsia" w:ascii="仿宋_GB2312" w:hAnsi="楷体" w:eastAsia="仿宋_GB2312"/>
          <w:kern w:val="0"/>
          <w:sz w:val="32"/>
          <w:szCs w:val="32"/>
        </w:rPr>
        <w:t>万元。包括：</w:t>
      </w:r>
    </w:p>
    <w:p w14:paraId="6E995D20">
      <w:pPr>
        <w:keepNext w:val="0"/>
        <w:keepLines w:val="0"/>
        <w:pageBreakBefore w:val="0"/>
        <w:widowControl/>
        <w:kinsoku/>
        <w:wordWrap/>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7713.6491</w:t>
      </w:r>
      <w:r>
        <w:rPr>
          <w:rFonts w:hint="eastAsia" w:ascii="仿宋_GB2312" w:hAnsi="楷体" w:eastAsia="仿宋_GB2312"/>
          <w:kern w:val="0"/>
          <w:sz w:val="32"/>
          <w:szCs w:val="32"/>
        </w:rPr>
        <w:t>万元。</w:t>
      </w:r>
    </w:p>
    <w:p w14:paraId="036F0C9D">
      <w:pPr>
        <w:keepNext w:val="0"/>
        <w:keepLines w:val="0"/>
        <w:pageBreakBefore w:val="0"/>
        <w:widowControl/>
        <w:kinsoku/>
        <w:wordWrap/>
        <w:overflowPunct/>
        <w:topLinePunct w:val="0"/>
        <w:bidi w:val="0"/>
        <w:snapToGrid/>
        <w:spacing w:line="560" w:lineRule="exact"/>
        <w:ind w:firstLine="640"/>
        <w:textAlignment w:val="auto"/>
        <w:rPr>
          <w:rFonts w:hint="default" w:ascii="仿宋_GB2312" w:hAnsi="楷体" w:eastAsia="仿宋_GB2312"/>
          <w:color w:val="000000" w:themeColor="text1"/>
          <w:kern w:val="0"/>
          <w:sz w:val="32"/>
          <w:szCs w:val="32"/>
          <w:lang w:val="en-US" w:eastAsia="zh-CN"/>
          <w14:textFill>
            <w14:solidFill>
              <w14:schemeClr w14:val="tx1"/>
            </w14:solidFill>
          </w14:textFill>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6513.6491</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1787.7409</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21.54</w:t>
      </w:r>
      <w:r>
        <w:rPr>
          <w:rFonts w:ascii="仿宋_GB2312" w:hAnsi="楷体" w:eastAsia="仿宋_GB2312"/>
          <w:kern w:val="0"/>
          <w:sz w:val="32"/>
          <w:szCs w:val="32"/>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val="en-US" w:eastAsia="zh-CN"/>
          <w14:textFill>
            <w14:solidFill>
              <w14:schemeClr w14:val="tx1"/>
            </w14:solidFill>
          </w14:textFill>
        </w:rPr>
        <w:t>上年有提前下达省级农业生产发展专项资金列入预算，今年无提前下达此项资金，巩固拓展脱贫攻坚成果有效衔接乡村振兴2022年度县级配套资金列入基金科目。</w:t>
      </w:r>
    </w:p>
    <w:p w14:paraId="2CB9FF1B">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000000" w:themeColor="text1"/>
          <w:kern w:val="0"/>
          <w:sz w:val="32"/>
          <w:szCs w:val="32"/>
          <w:lang w:eastAsia="zh-CN"/>
          <w14:textFill>
            <w14:solidFill>
              <w14:schemeClr w14:val="tx1"/>
            </w14:solidFill>
          </w14:textFill>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1200</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1000</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83.33</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color w:val="000000" w:themeColor="text1"/>
          <w:kern w:val="0"/>
          <w:sz w:val="32"/>
          <w:szCs w:val="32"/>
          <w:lang w:eastAsia="zh-CN"/>
          <w14:textFill>
            <w14:solidFill>
              <w14:schemeClr w14:val="tx1"/>
            </w14:solidFill>
          </w14:textFill>
        </w:rPr>
        <w:t>主要原因是</w:t>
      </w:r>
      <w:r>
        <w:rPr>
          <w:rFonts w:hint="eastAsia" w:ascii="仿宋_GB2312" w:hAnsi="楷体" w:eastAsia="仿宋_GB2312"/>
          <w:color w:val="000000" w:themeColor="text1"/>
          <w:kern w:val="0"/>
          <w:sz w:val="32"/>
          <w:szCs w:val="32"/>
          <w:lang w:val="en-US" w:eastAsia="zh-CN"/>
          <w14:textFill>
            <w14:solidFill>
              <w14:schemeClr w14:val="tx1"/>
            </w14:solidFill>
          </w14:textFill>
        </w:rPr>
        <w:t>巩固拓展脱贫攻坚成果有效衔接乡村振兴2022年度县级配套资金列入基金科目。</w:t>
      </w:r>
    </w:p>
    <w:p w14:paraId="4F726D0C">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000000" w:themeColor="text1"/>
          <w:kern w:val="0"/>
          <w:sz w:val="32"/>
          <w:szCs w:val="32"/>
          <w:lang w:eastAsia="zh-CN"/>
          <w14:textFill>
            <w14:solidFill>
              <w14:schemeClr w14:val="tx1"/>
            </w14:solidFill>
          </w14:textFill>
        </w:rPr>
      </w:pPr>
      <w:r>
        <w:rPr>
          <w:rFonts w:ascii="仿宋_GB2312" w:hAnsi="楷体" w:eastAsia="仿宋_GB2312"/>
          <w:color w:val="000000" w:themeColor="text1"/>
          <w:kern w:val="0"/>
          <w:sz w:val="32"/>
          <w:szCs w:val="32"/>
          <w14:textFill>
            <w14:solidFill>
              <w14:schemeClr w14:val="tx1"/>
            </w14:solidFill>
          </w14:textFill>
        </w:rPr>
        <w:t>2</w:t>
      </w:r>
      <w:r>
        <w:rPr>
          <w:rFonts w:hint="eastAsia" w:ascii="仿宋_GB2312" w:hAnsi="楷体" w:eastAsia="仿宋_GB2312"/>
          <w:color w:val="000000" w:themeColor="text1"/>
          <w:kern w:val="0"/>
          <w:sz w:val="32"/>
          <w:szCs w:val="32"/>
          <w14:textFill>
            <w14:solidFill>
              <w14:schemeClr w14:val="tx1"/>
            </w14:solidFill>
          </w14:textFill>
        </w:rPr>
        <w:t>．财政专户管理资金收入预算总计</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0</w:t>
      </w:r>
      <w:r>
        <w:rPr>
          <w:rFonts w:hint="eastAsia" w:ascii="仿宋_GB2312" w:hAnsi="楷体" w:eastAsia="仿宋_GB2312"/>
          <w:color w:val="000000" w:themeColor="text1"/>
          <w:kern w:val="0"/>
          <w:sz w:val="32"/>
          <w:szCs w:val="32"/>
          <w14:textFill>
            <w14:solidFill>
              <w14:schemeClr w14:val="tx1"/>
            </w14:solidFill>
          </w14:textFill>
        </w:rPr>
        <w:t>万元。</w:t>
      </w:r>
      <w:r>
        <w:rPr>
          <w:rFonts w:hint="eastAsia" w:ascii="仿宋_GB2312" w:hAnsi="楷体" w:eastAsia="仿宋_GB2312"/>
          <w:color w:val="000000" w:themeColor="text1"/>
          <w:kern w:val="0"/>
          <w:sz w:val="32"/>
          <w:szCs w:val="32"/>
          <w:lang w:eastAsia="zh-CN"/>
          <w14:textFill>
            <w14:solidFill>
              <w14:schemeClr w14:val="tx1"/>
            </w14:solidFill>
          </w14:textFill>
        </w:rPr>
        <w:t>与上年预算相同。</w:t>
      </w:r>
    </w:p>
    <w:p w14:paraId="4570ED86">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000000" w:themeColor="text1"/>
          <w:kern w:val="0"/>
          <w:sz w:val="32"/>
          <w:szCs w:val="32"/>
          <w:lang w:eastAsia="zh-CN"/>
          <w14:textFill>
            <w14:solidFill>
              <w14:schemeClr w14:val="tx1"/>
            </w14:solidFill>
          </w14:textFill>
        </w:rPr>
      </w:pPr>
      <w:r>
        <w:rPr>
          <w:rFonts w:hint="eastAsia" w:ascii="仿宋_GB2312" w:hAnsi="楷体" w:eastAsia="仿宋_GB2312"/>
          <w:color w:val="000000" w:themeColor="text1"/>
          <w:kern w:val="0"/>
          <w:sz w:val="32"/>
          <w:szCs w:val="32"/>
          <w14:textFill>
            <w14:solidFill>
              <w14:schemeClr w14:val="tx1"/>
            </w14:solidFill>
          </w14:textFill>
        </w:rPr>
        <w:t>3.国有资本经营收入预算总计</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0</w:t>
      </w:r>
      <w:r>
        <w:rPr>
          <w:rFonts w:hint="eastAsia" w:ascii="仿宋_GB2312" w:hAnsi="楷体" w:eastAsia="仿宋_GB2312"/>
          <w:color w:val="000000" w:themeColor="text1"/>
          <w:kern w:val="0"/>
          <w:sz w:val="32"/>
          <w:szCs w:val="32"/>
          <w14:textFill>
            <w14:solidFill>
              <w14:schemeClr w14:val="tx1"/>
            </w14:solidFill>
          </w14:textFill>
        </w:rPr>
        <w:t>万元。</w:t>
      </w:r>
      <w:r>
        <w:rPr>
          <w:rFonts w:hint="eastAsia" w:ascii="仿宋_GB2312" w:hAnsi="楷体" w:eastAsia="仿宋_GB2312"/>
          <w:color w:val="000000" w:themeColor="text1"/>
          <w:kern w:val="0"/>
          <w:sz w:val="32"/>
          <w:szCs w:val="32"/>
          <w:lang w:eastAsia="zh-CN"/>
          <w14:textFill>
            <w14:solidFill>
              <w14:schemeClr w14:val="tx1"/>
            </w14:solidFill>
          </w14:textFill>
        </w:rPr>
        <w:t>与上年预算相同。</w:t>
      </w:r>
    </w:p>
    <w:p w14:paraId="77913447">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000000" w:themeColor="text1"/>
          <w:kern w:val="0"/>
          <w:sz w:val="32"/>
          <w:szCs w:val="32"/>
          <w:lang w:eastAsia="zh-CN"/>
          <w14:textFill>
            <w14:solidFill>
              <w14:schemeClr w14:val="tx1"/>
            </w14:solidFill>
          </w14:textFill>
        </w:rPr>
      </w:pPr>
      <w:r>
        <w:rPr>
          <w:rFonts w:hint="eastAsia" w:ascii="仿宋_GB2312" w:hAnsi="楷体" w:eastAsia="仿宋_GB2312"/>
          <w:color w:val="000000" w:themeColor="text1"/>
          <w:kern w:val="0"/>
          <w:sz w:val="32"/>
          <w:szCs w:val="32"/>
          <w14:textFill>
            <w14:solidFill>
              <w14:schemeClr w14:val="tx1"/>
            </w14:solidFill>
          </w14:textFill>
        </w:rPr>
        <w:t>4．其他资金收入预算总计</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0</w:t>
      </w:r>
      <w:r>
        <w:rPr>
          <w:rFonts w:hint="eastAsia" w:ascii="仿宋_GB2312" w:hAnsi="楷体" w:eastAsia="仿宋_GB2312"/>
          <w:color w:val="000000" w:themeColor="text1"/>
          <w:kern w:val="0"/>
          <w:sz w:val="32"/>
          <w:szCs w:val="32"/>
          <w14:textFill>
            <w14:solidFill>
              <w14:schemeClr w14:val="tx1"/>
            </w14:solidFill>
          </w14:textFill>
        </w:rPr>
        <w:t>万元。</w:t>
      </w:r>
      <w:r>
        <w:rPr>
          <w:rFonts w:hint="eastAsia" w:ascii="仿宋_GB2312" w:hAnsi="楷体" w:eastAsia="仿宋_GB2312"/>
          <w:color w:val="000000" w:themeColor="text1"/>
          <w:kern w:val="0"/>
          <w:sz w:val="32"/>
          <w:szCs w:val="32"/>
          <w:lang w:eastAsia="zh-CN"/>
          <w14:textFill>
            <w14:solidFill>
              <w14:schemeClr w14:val="tx1"/>
            </w14:solidFill>
          </w14:textFill>
        </w:rPr>
        <w:t>与上年预算相同。</w:t>
      </w:r>
    </w:p>
    <w:p w14:paraId="1D727CD6">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color w:val="000000" w:themeColor="text1"/>
          <w:kern w:val="0"/>
          <w:sz w:val="32"/>
          <w:szCs w:val="32"/>
          <w14:textFill>
            <w14:solidFill>
              <w14:schemeClr w14:val="tx1"/>
            </w14:solidFill>
          </w14:textFill>
        </w:rPr>
      </w:pPr>
      <w:r>
        <w:rPr>
          <w:rFonts w:hint="eastAsia" w:ascii="仿宋_GB2312" w:hAnsi="楷体" w:eastAsia="仿宋_GB2312"/>
          <w:color w:val="000000" w:themeColor="text1"/>
          <w:kern w:val="0"/>
          <w:sz w:val="32"/>
          <w:szCs w:val="32"/>
          <w14:textFill>
            <w14:solidFill>
              <w14:schemeClr w14:val="tx1"/>
            </w14:solidFill>
          </w14:textFill>
        </w:rPr>
        <w:t>（二）支出预算总计</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7713.6491</w:t>
      </w:r>
      <w:r>
        <w:rPr>
          <w:rFonts w:hint="eastAsia" w:ascii="仿宋_GB2312" w:hAnsi="楷体" w:eastAsia="仿宋_GB2312"/>
          <w:color w:val="000000" w:themeColor="text1"/>
          <w:kern w:val="0"/>
          <w:sz w:val="32"/>
          <w:szCs w:val="32"/>
          <w14:textFill>
            <w14:solidFill>
              <w14:schemeClr w14:val="tx1"/>
            </w14:solidFill>
          </w14:textFill>
        </w:rPr>
        <w:t>万元。包括：</w:t>
      </w:r>
    </w:p>
    <w:p w14:paraId="4BB4609B">
      <w:pPr>
        <w:keepNext w:val="0"/>
        <w:keepLines w:val="0"/>
        <w:pageBreakBefore w:val="0"/>
        <w:widowControl/>
        <w:kinsoku/>
        <w:wordWrap/>
        <w:overflowPunct/>
        <w:topLinePunct w:val="0"/>
        <w:bidi w:val="0"/>
        <w:snapToGrid/>
        <w:spacing w:line="560" w:lineRule="exact"/>
        <w:ind w:firstLine="640"/>
        <w:textAlignment w:val="auto"/>
        <w:rPr>
          <w:rFonts w:hint="default" w:ascii="仿宋_GB2312" w:hAnsi="楷体" w:eastAsia="仿宋_GB2312"/>
          <w:color w:val="auto"/>
          <w:kern w:val="0"/>
          <w:sz w:val="32"/>
          <w:szCs w:val="32"/>
          <w:lang w:val="en-US" w:eastAsia="zh-CN"/>
        </w:rPr>
      </w:pPr>
      <w:r>
        <w:rPr>
          <w:rFonts w:ascii="仿宋_GB2312" w:hAnsi="楷体" w:eastAsia="仿宋_GB2312"/>
          <w:color w:val="000000" w:themeColor="text1"/>
          <w:kern w:val="0"/>
          <w:sz w:val="32"/>
          <w:szCs w:val="32"/>
          <w14:textFill>
            <w14:solidFill>
              <w14:schemeClr w14:val="tx1"/>
            </w14:solidFill>
          </w14:textFill>
        </w:rPr>
        <w:t>1</w:t>
      </w:r>
      <w:r>
        <w:rPr>
          <w:rFonts w:hint="eastAsia" w:ascii="仿宋_GB2312" w:hAnsi="楷体" w:eastAsia="仿宋_GB2312"/>
          <w:color w:val="000000" w:themeColor="text1"/>
          <w:kern w:val="0"/>
          <w:sz w:val="32"/>
          <w:szCs w:val="32"/>
          <w14:textFill>
            <w14:solidFill>
              <w14:schemeClr w14:val="tx1"/>
            </w14:solidFill>
          </w14:textFill>
        </w:rPr>
        <w:t>．</w:t>
      </w:r>
      <w:r>
        <w:rPr>
          <w:rFonts w:hint="eastAsia" w:ascii="仿宋_GB2312" w:hAnsi="楷体" w:eastAsia="仿宋_GB2312"/>
          <w:kern w:val="0"/>
          <w:sz w:val="32"/>
          <w:szCs w:val="32"/>
          <w:lang w:eastAsia="zh-CN"/>
        </w:rPr>
        <w:t>社会保障就业</w:t>
      </w:r>
      <w:r>
        <w:rPr>
          <w:rFonts w:hint="eastAsia" w:ascii="仿宋_GB2312" w:hAnsi="楷体" w:eastAsia="仿宋_GB2312"/>
          <w:kern w:val="0"/>
          <w:sz w:val="32"/>
          <w:szCs w:val="32"/>
        </w:rPr>
        <w:t>（类）支出</w:t>
      </w:r>
      <w:r>
        <w:rPr>
          <w:rFonts w:hint="eastAsia" w:ascii="仿宋_GB2312" w:hAnsi="楷体" w:eastAsia="仿宋_GB2312"/>
          <w:kern w:val="0"/>
          <w:sz w:val="32"/>
          <w:szCs w:val="32"/>
          <w:u w:val="single"/>
          <w:lang w:val="en-US" w:eastAsia="zh-CN"/>
        </w:rPr>
        <w:t>169.6969</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主要用于行政事业单位基本养老保险缴费、行政单位离退休、事业单位离退休、机关事业单位职业年金。</w:t>
      </w:r>
      <w:r>
        <w:rPr>
          <w:rFonts w:hint="eastAsia" w:ascii="仿宋_GB2312" w:hAnsi="楷体" w:eastAsia="仿宋_GB2312"/>
          <w:color w:val="auto"/>
          <w:kern w:val="0"/>
          <w:sz w:val="32"/>
          <w:szCs w:val="32"/>
        </w:rPr>
        <w:t>与上年相比减少</w:t>
      </w:r>
      <w:r>
        <w:rPr>
          <w:rFonts w:hint="eastAsia" w:ascii="仿宋_GB2312" w:hAnsi="楷体" w:eastAsia="仿宋_GB2312"/>
          <w:color w:val="auto"/>
          <w:kern w:val="0"/>
          <w:sz w:val="32"/>
          <w:szCs w:val="32"/>
          <w:u w:val="single"/>
          <w:lang w:val="en-US" w:eastAsia="zh-CN"/>
        </w:rPr>
        <w:t>11.9631</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single"/>
          <w:lang w:val="en-US" w:eastAsia="zh-CN"/>
        </w:rPr>
        <w:t>7.04</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eastAsia="zh-CN"/>
        </w:rPr>
        <w:t>主要原因是</w:t>
      </w:r>
      <w:r>
        <w:rPr>
          <w:rFonts w:hint="eastAsia" w:ascii="仿宋_GB2312" w:hAnsi="楷体" w:eastAsia="仿宋_GB2312"/>
          <w:color w:val="auto"/>
          <w:kern w:val="0"/>
          <w:sz w:val="32"/>
          <w:szCs w:val="32"/>
          <w:lang w:val="en-US" w:eastAsia="zh-CN"/>
        </w:rPr>
        <w:t>退休人员职业年金今年未列入预算。</w:t>
      </w:r>
    </w:p>
    <w:p w14:paraId="6F0D8492">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lang w:val="en-US" w:eastAsia="zh-CN"/>
        </w:rPr>
      </w:pPr>
      <w:r>
        <w:rPr>
          <w:rFonts w:hint="eastAsia" w:ascii="仿宋_GB2312" w:hAnsi="楷体" w:eastAsia="仿宋_GB2312"/>
          <w:color w:val="auto"/>
          <w:kern w:val="0"/>
          <w:sz w:val="32"/>
          <w:szCs w:val="32"/>
          <w:lang w:val="en-US" w:eastAsia="zh-CN"/>
        </w:rPr>
        <w:t>2.城乡社区</w:t>
      </w:r>
      <w:r>
        <w:rPr>
          <w:rFonts w:hint="eastAsia" w:ascii="仿宋_GB2312" w:hAnsi="楷体" w:eastAsia="仿宋_GB2312"/>
          <w:color w:val="auto"/>
          <w:kern w:val="0"/>
          <w:sz w:val="32"/>
          <w:szCs w:val="32"/>
        </w:rPr>
        <w:t>（类）支出</w:t>
      </w:r>
      <w:r>
        <w:rPr>
          <w:rFonts w:hint="eastAsia" w:ascii="仿宋_GB2312" w:hAnsi="楷体" w:eastAsia="仿宋_GB2312"/>
          <w:color w:val="auto"/>
          <w:kern w:val="0"/>
          <w:sz w:val="32"/>
          <w:szCs w:val="32"/>
          <w:u w:val="single"/>
          <w:lang w:val="en-US" w:eastAsia="zh-CN"/>
        </w:rPr>
        <w:t>1200</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主要用于农村社会事业支出。</w:t>
      </w:r>
      <w:r>
        <w:rPr>
          <w:rFonts w:hint="eastAsia" w:ascii="仿宋_GB2312" w:hAnsi="楷体" w:eastAsia="仿宋_GB2312"/>
          <w:color w:val="auto"/>
          <w:kern w:val="0"/>
          <w:sz w:val="32"/>
          <w:szCs w:val="32"/>
        </w:rPr>
        <w:t>与上年相比增加</w:t>
      </w:r>
      <w:r>
        <w:rPr>
          <w:rFonts w:hint="eastAsia" w:ascii="仿宋_GB2312" w:hAnsi="楷体" w:eastAsia="仿宋_GB2312"/>
          <w:color w:val="auto"/>
          <w:kern w:val="0"/>
          <w:sz w:val="32"/>
          <w:szCs w:val="32"/>
          <w:u w:val="single"/>
          <w:lang w:val="en-US" w:eastAsia="zh-CN"/>
        </w:rPr>
        <w:t>1000</w:t>
      </w:r>
      <w:r>
        <w:rPr>
          <w:rFonts w:hint="eastAsia" w:ascii="仿宋_GB2312" w:hAnsi="楷体" w:eastAsia="仿宋_GB2312"/>
          <w:color w:val="auto"/>
          <w:kern w:val="0"/>
          <w:sz w:val="32"/>
          <w:szCs w:val="32"/>
        </w:rPr>
        <w:t>万元，增长</w:t>
      </w:r>
      <w:r>
        <w:rPr>
          <w:rFonts w:hint="eastAsia" w:ascii="仿宋_GB2312" w:hAnsi="楷体" w:eastAsia="仿宋_GB2312"/>
          <w:color w:val="auto"/>
          <w:kern w:val="0"/>
          <w:sz w:val="32"/>
          <w:szCs w:val="32"/>
          <w:u w:val="single"/>
          <w:lang w:val="en-US" w:eastAsia="zh-CN"/>
        </w:rPr>
        <w:t>83.33</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w:t>
      </w:r>
      <w:r>
        <w:rPr>
          <w:rFonts w:hint="eastAsia" w:ascii="仿宋_GB2312" w:hAnsi="楷体" w:eastAsia="仿宋_GB2312"/>
          <w:color w:val="auto"/>
          <w:kern w:val="0"/>
          <w:sz w:val="32"/>
          <w:szCs w:val="32"/>
          <w:lang w:eastAsia="zh-CN"/>
        </w:rPr>
        <w:t>主要原因是</w:t>
      </w:r>
      <w:r>
        <w:rPr>
          <w:rFonts w:hint="eastAsia" w:ascii="仿宋_GB2312" w:hAnsi="楷体" w:eastAsia="仿宋_GB2312"/>
          <w:color w:val="auto"/>
          <w:kern w:val="0"/>
          <w:sz w:val="32"/>
          <w:szCs w:val="32"/>
          <w:lang w:val="en-US" w:eastAsia="zh-CN"/>
        </w:rPr>
        <w:t>巩固拓展脱贫攻坚成果有效衔接乡村振兴2022年度县级配套资金列入此科目。</w:t>
      </w:r>
    </w:p>
    <w:p w14:paraId="4D482CB9">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auto"/>
          <w:kern w:val="0"/>
          <w:sz w:val="32"/>
          <w:szCs w:val="32"/>
          <w:lang w:val="en-US" w:eastAsia="zh-CN"/>
        </w:rPr>
      </w:pPr>
      <w:r>
        <w:rPr>
          <w:rFonts w:hint="eastAsia" w:ascii="仿宋_GB2312" w:hAnsi="楷体" w:eastAsia="仿宋_GB2312"/>
          <w:color w:val="auto"/>
          <w:kern w:val="0"/>
          <w:sz w:val="32"/>
          <w:szCs w:val="32"/>
          <w:lang w:val="en-US" w:eastAsia="zh-CN"/>
        </w:rPr>
        <w:t>3.农林水</w:t>
      </w:r>
      <w:r>
        <w:rPr>
          <w:rFonts w:hint="eastAsia" w:ascii="仿宋_GB2312" w:hAnsi="楷体" w:eastAsia="仿宋_GB2312"/>
          <w:color w:val="auto"/>
          <w:kern w:val="0"/>
          <w:sz w:val="32"/>
          <w:szCs w:val="32"/>
        </w:rPr>
        <w:t>（类）支出</w:t>
      </w:r>
      <w:r>
        <w:rPr>
          <w:rFonts w:hint="eastAsia" w:ascii="仿宋_GB2312" w:hAnsi="楷体" w:eastAsia="仿宋_GB2312"/>
          <w:color w:val="auto"/>
          <w:kern w:val="0"/>
          <w:sz w:val="32"/>
          <w:szCs w:val="32"/>
          <w:u w:val="single"/>
          <w:lang w:val="en-US" w:eastAsia="zh-CN"/>
        </w:rPr>
        <w:t>6245.5057</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主要用于人员工资、</w:t>
      </w:r>
      <w:r>
        <w:rPr>
          <w:rFonts w:hint="eastAsia" w:ascii="仿宋_GB2312" w:hAnsi="楷体" w:eastAsia="仿宋_GB2312"/>
          <w:color w:val="auto"/>
          <w:kern w:val="0"/>
          <w:sz w:val="32"/>
          <w:szCs w:val="32"/>
          <w:lang w:val="en-US" w:eastAsia="zh-CN"/>
        </w:rPr>
        <w:t>一般行政管理事务、科技转化与推广服务、执法监管、统计监测与信息服务、行业业务管理、其他农业农村支出、其他巩固脱贫衔接乡村振兴支出、</w:t>
      </w:r>
      <w:r>
        <w:rPr>
          <w:rFonts w:hint="eastAsia" w:ascii="仿宋_GB2312" w:hAnsi="楷体" w:eastAsia="仿宋_GB2312"/>
          <w:color w:val="auto"/>
          <w:kern w:val="0"/>
          <w:sz w:val="32"/>
          <w:szCs w:val="32"/>
          <w:lang w:eastAsia="zh-CN"/>
        </w:rPr>
        <w:t>农业保险保费补贴支出。</w:t>
      </w:r>
      <w:r>
        <w:rPr>
          <w:rFonts w:hint="eastAsia" w:ascii="仿宋_GB2312" w:hAnsi="楷体" w:eastAsia="仿宋_GB2312"/>
          <w:color w:val="auto"/>
          <w:kern w:val="0"/>
          <w:sz w:val="32"/>
          <w:szCs w:val="32"/>
        </w:rPr>
        <w:t>与上年相比减少</w:t>
      </w:r>
      <w:r>
        <w:rPr>
          <w:rFonts w:hint="eastAsia" w:ascii="仿宋_GB2312" w:hAnsi="楷体" w:eastAsia="仿宋_GB2312"/>
          <w:color w:val="auto"/>
          <w:kern w:val="0"/>
          <w:sz w:val="32"/>
          <w:szCs w:val="32"/>
          <w:u w:val="single"/>
          <w:lang w:val="en-US" w:eastAsia="zh-CN"/>
        </w:rPr>
        <w:t>1726.1843</w:t>
      </w:r>
      <w:r>
        <w:rPr>
          <w:rFonts w:hint="eastAsia" w:ascii="仿宋_GB2312" w:hAnsi="楷体" w:eastAsia="仿宋_GB2312"/>
          <w:color w:val="auto"/>
          <w:kern w:val="0"/>
          <w:sz w:val="32"/>
          <w:szCs w:val="32"/>
        </w:rPr>
        <w:t>万元，减少</w:t>
      </w:r>
      <w:r>
        <w:rPr>
          <w:rFonts w:hint="eastAsia" w:ascii="仿宋_GB2312" w:hAnsi="楷体" w:eastAsia="仿宋_GB2312"/>
          <w:color w:val="auto"/>
          <w:kern w:val="0"/>
          <w:sz w:val="32"/>
          <w:szCs w:val="32"/>
          <w:u w:val="single"/>
          <w:lang w:val="en-US" w:eastAsia="zh-CN"/>
        </w:rPr>
        <w:t>27.63</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lang w:eastAsia="zh-CN"/>
        </w:rPr>
        <w:t>，主要原因是</w:t>
      </w:r>
      <w:r>
        <w:rPr>
          <w:rFonts w:hint="eastAsia" w:ascii="仿宋_GB2312" w:hAnsi="楷体" w:eastAsia="仿宋_GB2312"/>
          <w:color w:val="auto"/>
          <w:kern w:val="0"/>
          <w:sz w:val="32"/>
          <w:szCs w:val="32"/>
          <w:lang w:val="en-US" w:eastAsia="zh-CN"/>
        </w:rPr>
        <w:t>上年有提前下达省级农业生产发展专项资金列入预算，今年无提前下达此项资金，巩固拓展脱贫攻坚成果有效衔接乡村振兴2022年度县级配套资金列入基金科目</w:t>
      </w:r>
    </w:p>
    <w:p w14:paraId="559D8DAC">
      <w:pPr>
        <w:keepNext w:val="0"/>
        <w:keepLines w:val="0"/>
        <w:pageBreakBefore w:val="0"/>
        <w:widowControl/>
        <w:kinsoku/>
        <w:wordWrap/>
        <w:overflowPunct/>
        <w:topLinePunct w:val="0"/>
        <w:bidi w:val="0"/>
        <w:snapToGrid/>
        <w:spacing w:line="560" w:lineRule="exact"/>
        <w:ind w:firstLine="640"/>
        <w:textAlignment w:val="auto"/>
        <w:rPr>
          <w:rFonts w:hint="default" w:ascii="仿宋_GB2312" w:hAnsi="楷体" w:eastAsia="仿宋_GB2312"/>
          <w:color w:val="auto"/>
          <w:kern w:val="0"/>
          <w:sz w:val="32"/>
          <w:szCs w:val="32"/>
          <w:lang w:val="en-US" w:eastAsia="zh-CN"/>
        </w:rPr>
      </w:pPr>
      <w:r>
        <w:rPr>
          <w:rFonts w:hint="eastAsia" w:ascii="仿宋_GB2312" w:hAnsi="楷体" w:eastAsia="仿宋_GB2312"/>
          <w:color w:val="auto"/>
          <w:kern w:val="0"/>
          <w:sz w:val="32"/>
          <w:szCs w:val="32"/>
          <w:lang w:val="en-US" w:eastAsia="zh-CN"/>
        </w:rPr>
        <w:t>4.住房保障（类）支出</w:t>
      </w:r>
      <w:r>
        <w:rPr>
          <w:rFonts w:hint="eastAsia" w:ascii="仿宋_GB2312" w:hAnsi="楷体" w:eastAsia="仿宋_GB2312"/>
          <w:color w:val="auto"/>
          <w:kern w:val="0"/>
          <w:sz w:val="32"/>
          <w:szCs w:val="32"/>
          <w:u w:val="single"/>
          <w:lang w:val="en-US" w:eastAsia="zh-CN"/>
        </w:rPr>
        <w:t>98.4465</w:t>
      </w:r>
      <w:r>
        <w:rPr>
          <w:rFonts w:hint="eastAsia" w:ascii="仿宋_GB2312" w:hAnsi="楷体" w:eastAsia="仿宋_GB2312"/>
          <w:color w:val="auto"/>
          <w:kern w:val="0"/>
          <w:sz w:val="32"/>
          <w:szCs w:val="32"/>
          <w:lang w:val="en-US" w:eastAsia="zh-CN"/>
        </w:rPr>
        <w:t>万元。主要用于住房公积金支出，与上年相比增加</w:t>
      </w:r>
      <w:r>
        <w:rPr>
          <w:rFonts w:hint="eastAsia" w:ascii="仿宋_GB2312" w:hAnsi="楷体" w:eastAsia="仿宋_GB2312"/>
          <w:color w:val="auto"/>
          <w:kern w:val="0"/>
          <w:sz w:val="32"/>
          <w:szCs w:val="32"/>
          <w:u w:val="single"/>
          <w:lang w:val="en-US" w:eastAsia="zh-CN"/>
        </w:rPr>
        <w:t>21.3165</w:t>
      </w:r>
      <w:r>
        <w:rPr>
          <w:rFonts w:hint="eastAsia" w:ascii="仿宋_GB2312" w:hAnsi="楷体" w:eastAsia="仿宋_GB2312"/>
          <w:color w:val="auto"/>
          <w:kern w:val="0"/>
          <w:sz w:val="32"/>
          <w:szCs w:val="32"/>
          <w:lang w:val="en-US" w:eastAsia="zh-CN"/>
        </w:rPr>
        <w:t>万元，增长</w:t>
      </w:r>
      <w:r>
        <w:rPr>
          <w:rFonts w:hint="eastAsia" w:ascii="仿宋_GB2312" w:hAnsi="楷体" w:eastAsia="仿宋_GB2312"/>
          <w:color w:val="auto"/>
          <w:kern w:val="0"/>
          <w:sz w:val="32"/>
          <w:szCs w:val="32"/>
          <w:u w:val="single"/>
          <w:lang w:val="en-US" w:eastAsia="zh-CN"/>
        </w:rPr>
        <w:t>21.65</w:t>
      </w:r>
      <w:r>
        <w:rPr>
          <w:rFonts w:hint="eastAsia" w:ascii="仿宋_GB2312" w:hAnsi="楷体" w:eastAsia="仿宋_GB2312"/>
          <w:color w:val="auto"/>
          <w:kern w:val="0"/>
          <w:sz w:val="32"/>
          <w:szCs w:val="32"/>
          <w:lang w:val="en-US" w:eastAsia="zh-CN"/>
        </w:rPr>
        <w:t>%。主要原因是因机构改革原农村经营管理服务中心、农业综合开发办公室并入我单位。</w:t>
      </w:r>
    </w:p>
    <w:p w14:paraId="2CF6AF69">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color w:val="FF0000"/>
          <w:kern w:val="0"/>
          <w:sz w:val="32"/>
          <w:szCs w:val="32"/>
        </w:rPr>
      </w:pPr>
      <w:r>
        <w:rPr>
          <w:rFonts w:hint="eastAsia" w:ascii="仿宋_GB2312" w:hAnsi="楷体" w:eastAsia="仿宋_GB2312"/>
          <w:color w:val="auto"/>
          <w:kern w:val="0"/>
          <w:sz w:val="32"/>
          <w:szCs w:val="32"/>
          <w:lang w:val="en-US" w:eastAsia="zh-CN"/>
        </w:rPr>
        <w:t>5</w:t>
      </w:r>
      <w:r>
        <w:rPr>
          <w:rFonts w:hint="eastAsia" w:ascii="仿宋_GB2312" w:hAnsi="楷体" w:eastAsia="仿宋_GB2312"/>
          <w:color w:val="auto"/>
          <w:kern w:val="0"/>
          <w:sz w:val="32"/>
          <w:szCs w:val="32"/>
        </w:rPr>
        <w:t>．基本支出预算数为</w:t>
      </w:r>
      <w:r>
        <w:rPr>
          <w:rFonts w:hint="eastAsia" w:ascii="仿宋_GB2312" w:hAnsi="楷体" w:eastAsia="仿宋_GB2312"/>
          <w:color w:val="auto"/>
          <w:kern w:val="0"/>
          <w:sz w:val="32"/>
          <w:szCs w:val="32"/>
          <w:u w:val="single"/>
          <w:lang w:val="en-US" w:eastAsia="zh-CN"/>
        </w:rPr>
        <w:t>1303.0411</w:t>
      </w:r>
      <w:r>
        <w:rPr>
          <w:rFonts w:hint="eastAsia" w:ascii="仿宋_GB2312" w:hAnsi="楷体" w:eastAsia="仿宋_GB2312"/>
          <w:color w:val="auto"/>
          <w:kern w:val="0"/>
          <w:sz w:val="32"/>
          <w:szCs w:val="32"/>
        </w:rPr>
        <w:t>万元。与上年相比</w:t>
      </w:r>
      <w:r>
        <w:rPr>
          <w:rFonts w:hint="eastAsia" w:ascii="仿宋_GB2312" w:hAnsi="楷体" w:eastAsia="仿宋_GB2312"/>
          <w:color w:val="auto"/>
          <w:kern w:val="0"/>
          <w:sz w:val="32"/>
          <w:szCs w:val="32"/>
          <w:lang w:eastAsia="zh-CN"/>
        </w:rPr>
        <w:t>减少</w:t>
      </w:r>
      <w:r>
        <w:rPr>
          <w:rFonts w:hint="eastAsia" w:ascii="仿宋_GB2312" w:hAnsi="楷体" w:eastAsia="仿宋_GB2312"/>
          <w:color w:val="auto"/>
          <w:kern w:val="0"/>
          <w:sz w:val="32"/>
          <w:szCs w:val="32"/>
          <w:u w:val="single"/>
          <w:lang w:val="en-US" w:eastAsia="zh-CN"/>
        </w:rPr>
        <w:t>242.1211</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减少</w:t>
      </w:r>
      <w:r>
        <w:rPr>
          <w:rFonts w:hint="eastAsia" w:ascii="仿宋_GB2312" w:hAnsi="楷体" w:eastAsia="仿宋_GB2312"/>
          <w:color w:val="auto"/>
          <w:kern w:val="0"/>
          <w:sz w:val="32"/>
          <w:szCs w:val="32"/>
          <w:u w:val="single"/>
          <w:lang w:val="en-US" w:eastAsia="zh-CN"/>
        </w:rPr>
        <w:t>22.82</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val="en-US" w:eastAsia="zh-CN"/>
        </w:rPr>
        <w:t>上年做预算时错将基本支出列入了一般公共服务（类）支出，减少机关事业单位职业年金缴费支出。</w:t>
      </w:r>
      <w:r>
        <w:rPr>
          <w:rFonts w:hint="eastAsia" w:ascii="仿宋_GB2312" w:hAnsi="楷体" w:eastAsia="仿宋_GB2312"/>
          <w:color w:val="auto"/>
          <w:kern w:val="0"/>
          <w:sz w:val="32"/>
          <w:szCs w:val="32"/>
        </w:rPr>
        <w:t>项目支出预算数为</w:t>
      </w:r>
      <w:r>
        <w:rPr>
          <w:rFonts w:hint="eastAsia" w:ascii="仿宋_GB2312" w:hAnsi="楷体" w:eastAsia="仿宋_GB2312"/>
          <w:color w:val="auto"/>
          <w:kern w:val="0"/>
          <w:sz w:val="32"/>
          <w:szCs w:val="32"/>
          <w:u w:val="single"/>
          <w:lang w:val="en-US" w:eastAsia="zh-CN"/>
        </w:rPr>
        <w:t>5210.608</w:t>
      </w:r>
      <w:r>
        <w:rPr>
          <w:rFonts w:hint="eastAsia" w:ascii="仿宋_GB2312" w:hAnsi="楷体" w:eastAsia="仿宋_GB2312"/>
          <w:color w:val="auto"/>
          <w:kern w:val="0"/>
          <w:sz w:val="32"/>
          <w:szCs w:val="32"/>
        </w:rPr>
        <w:t>万元。与上年相比</w:t>
      </w:r>
      <w:r>
        <w:rPr>
          <w:rFonts w:hint="eastAsia" w:ascii="仿宋_GB2312" w:hAnsi="楷体" w:eastAsia="仿宋_GB2312"/>
          <w:color w:val="auto"/>
          <w:kern w:val="0"/>
          <w:sz w:val="32"/>
          <w:szCs w:val="32"/>
          <w:lang w:eastAsia="zh-CN"/>
        </w:rPr>
        <w:t>减少</w:t>
      </w:r>
      <w:r>
        <w:rPr>
          <w:rFonts w:hint="eastAsia" w:ascii="仿宋_GB2312" w:hAnsi="楷体" w:eastAsia="仿宋_GB2312"/>
          <w:color w:val="auto"/>
          <w:kern w:val="0"/>
          <w:sz w:val="32"/>
          <w:szCs w:val="32"/>
          <w:u w:val="single"/>
          <w:lang w:val="en-US" w:eastAsia="zh-CN"/>
        </w:rPr>
        <w:t>2229.862</w:t>
      </w:r>
      <w:r>
        <w:rPr>
          <w:rFonts w:hint="eastAsia" w:ascii="仿宋_GB2312" w:hAnsi="楷体" w:eastAsia="仿宋_GB2312"/>
          <w:color w:val="auto"/>
          <w:kern w:val="0"/>
          <w:sz w:val="32"/>
          <w:szCs w:val="32"/>
        </w:rPr>
        <w:t>万元，</w:t>
      </w:r>
      <w:r>
        <w:rPr>
          <w:rFonts w:hint="eastAsia" w:ascii="仿宋_GB2312" w:hAnsi="楷体" w:eastAsia="仿宋_GB2312"/>
          <w:color w:val="auto"/>
          <w:kern w:val="0"/>
          <w:sz w:val="32"/>
          <w:szCs w:val="32"/>
          <w:lang w:eastAsia="zh-CN"/>
        </w:rPr>
        <w:t>减少</w:t>
      </w:r>
      <w:r>
        <w:rPr>
          <w:rFonts w:hint="eastAsia" w:ascii="仿宋_GB2312" w:hAnsi="楷体" w:eastAsia="仿宋_GB2312"/>
          <w:color w:val="auto"/>
          <w:kern w:val="0"/>
          <w:sz w:val="32"/>
          <w:szCs w:val="32"/>
          <w:u w:val="single"/>
          <w:lang w:val="en-US" w:eastAsia="zh-CN"/>
        </w:rPr>
        <w:t>29.97</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val="en-US" w:eastAsia="zh-CN"/>
        </w:rPr>
        <w:t>去年有提前下达省级农业生产发展专项资金列入</w:t>
      </w:r>
      <w:r>
        <w:rPr>
          <w:rFonts w:hint="eastAsia" w:ascii="仿宋_GB2312" w:hAnsi="楷体" w:eastAsia="仿宋_GB2312"/>
          <w:color w:val="000000" w:themeColor="text1"/>
          <w:kern w:val="0"/>
          <w:sz w:val="32"/>
          <w:szCs w:val="32"/>
          <w:lang w:val="en-US" w:eastAsia="zh-CN"/>
          <w14:textFill>
            <w14:solidFill>
              <w14:schemeClr w14:val="tx1"/>
            </w14:solidFill>
          </w14:textFill>
        </w:rPr>
        <w:t>预算，今年无提前下达此项资金，巩固拓展脱贫攻坚成果有效衔接乡村振兴2022年度县级配套资金列入基金科目。</w:t>
      </w:r>
    </w:p>
    <w:p w14:paraId="5BF3C4EB">
      <w:pPr>
        <w:keepNext w:val="0"/>
        <w:keepLines w:val="0"/>
        <w:pageBreakBefore w:val="0"/>
        <w:widowControl/>
        <w:kinsoku/>
        <w:wordWrap/>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14:paraId="71815A60">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洪洞县农业农村局</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lang w:val="en-US" w:eastAsia="zh-CN"/>
        </w:rPr>
        <w:t>7713.6491</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6513.6491</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84.44</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lang w:val="en-US" w:eastAsia="zh-CN"/>
        </w:rPr>
        <w:t>1</w:t>
      </w:r>
      <w:r>
        <w:rPr>
          <w:rFonts w:hint="eastAsia" w:ascii="仿宋_GB2312" w:hAnsi="楷体" w:eastAsia="仿宋_GB2312"/>
          <w:kern w:val="0"/>
          <w:sz w:val="32"/>
          <w:szCs w:val="32"/>
          <w:u w:val="single"/>
          <w:lang w:val="en-US" w:eastAsia="zh-CN"/>
        </w:rPr>
        <w:t>200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15.56</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14:paraId="6FD494D5">
      <w:pPr>
        <w:keepNext w:val="0"/>
        <w:keepLines w:val="0"/>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14:paraId="566A9A1D">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洪洞县农业农村局</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lang w:val="en-US" w:eastAsia="zh-CN"/>
        </w:rPr>
        <w:t>7713.6491</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lang w:val="en-US" w:eastAsia="zh-CN"/>
        </w:rPr>
        <w:t>1303.0411</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16.89</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5210.608</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83.11</w:t>
      </w:r>
      <w:r>
        <w:rPr>
          <w:rFonts w:ascii="仿宋_GB2312" w:hAnsi="楷体" w:eastAsia="仿宋_GB2312"/>
          <w:kern w:val="0"/>
          <w:sz w:val="32"/>
          <w:szCs w:val="32"/>
        </w:rPr>
        <w:t>%</w:t>
      </w:r>
      <w:r>
        <w:rPr>
          <w:rFonts w:hint="eastAsia" w:ascii="仿宋_GB2312" w:hAnsi="楷体" w:eastAsia="仿宋_GB2312"/>
          <w:kern w:val="0"/>
          <w:sz w:val="32"/>
          <w:szCs w:val="32"/>
        </w:rPr>
        <w:t>。</w:t>
      </w:r>
    </w:p>
    <w:p w14:paraId="41A44C72">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14:paraId="1D2023DF">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000000" w:themeColor="text1"/>
          <w:kern w:val="0"/>
          <w:sz w:val="32"/>
          <w:szCs w:val="32"/>
          <w14:textFill>
            <w14:solidFill>
              <w14:schemeClr w14:val="tx1"/>
            </w14:solidFill>
          </w14:textFill>
        </w:rPr>
      </w:pPr>
      <w:r>
        <w:rPr>
          <w:rFonts w:hint="eastAsia" w:ascii="仿宋_GB2312" w:hAnsi="楷体" w:eastAsia="仿宋_GB2312"/>
          <w:kern w:val="0"/>
          <w:sz w:val="32"/>
          <w:szCs w:val="32"/>
          <w:u w:val="none"/>
          <w:lang w:eastAsia="zh-CN"/>
        </w:rPr>
        <w:t>洪洞县农业农村局</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7713.6491</w:t>
      </w:r>
      <w:r>
        <w:rPr>
          <w:rFonts w:hint="eastAsia" w:ascii="仿宋_GB2312" w:hAnsi="楷体" w:eastAsia="仿宋_GB2312"/>
          <w:kern w:val="0"/>
          <w:sz w:val="32"/>
          <w:szCs w:val="32"/>
        </w:rPr>
        <w:t>万元。与上年相比，财政拨款收、支</w:t>
      </w:r>
      <w:r>
        <w:rPr>
          <w:rFonts w:hint="eastAsia" w:ascii="仿宋_GB2312" w:hAnsi="楷体" w:eastAsia="仿宋_GB2312"/>
          <w:kern w:val="0"/>
          <w:sz w:val="32"/>
          <w:szCs w:val="32"/>
          <w:lang w:val="en-US" w:eastAsia="zh-CN"/>
        </w:rPr>
        <w:t>出</w:t>
      </w:r>
      <w:r>
        <w:rPr>
          <w:rFonts w:hint="eastAsia" w:ascii="仿宋_GB2312" w:hAnsi="楷体" w:eastAsia="仿宋_GB2312"/>
          <w:kern w:val="0"/>
          <w:sz w:val="32"/>
          <w:szCs w:val="32"/>
        </w:rPr>
        <w:t>总计各</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787.7409</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9.27</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val="en-US" w:eastAsia="zh-CN"/>
          <w14:textFill>
            <w14:solidFill>
              <w14:schemeClr w14:val="tx1"/>
            </w14:solidFill>
          </w14:textFill>
        </w:rPr>
        <w:t>去年有提前下达省级农业生产发展专项资金列入预算，今年无提前下达此项资金。</w:t>
      </w:r>
    </w:p>
    <w:p w14:paraId="7B1E5B9E">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000000" w:themeColor="text1"/>
          <w:kern w:val="0"/>
          <w:sz w:val="32"/>
          <w:szCs w:val="32"/>
          <w14:textFill>
            <w14:solidFill>
              <w14:schemeClr w14:val="tx1"/>
            </w14:solidFill>
          </w14:textFill>
        </w:rPr>
      </w:pPr>
      <w:r>
        <w:rPr>
          <w:rFonts w:hint="eastAsia" w:ascii="黑体" w:hAnsi="Times New Roman" w:eastAsia="黑体" w:cs="FZHTK--GBK1-0"/>
          <w:color w:val="000000" w:themeColor="text1"/>
          <w:kern w:val="0"/>
          <w:sz w:val="32"/>
          <w:szCs w:val="32"/>
          <w14:textFill>
            <w14:solidFill>
              <w14:schemeClr w14:val="tx1"/>
            </w14:solidFill>
          </w14:textFill>
        </w:rPr>
        <w:t>五、一般公共预算支出预算情况说明</w:t>
      </w:r>
    </w:p>
    <w:p w14:paraId="2BFEBA21">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000000" w:themeColor="text1"/>
          <w:kern w:val="0"/>
          <w:sz w:val="32"/>
          <w:szCs w:val="32"/>
          <w:lang w:eastAsia="zh-CN"/>
          <w14:textFill>
            <w14:solidFill>
              <w14:schemeClr w14:val="tx1"/>
            </w14:solidFill>
          </w14:textFill>
        </w:rPr>
      </w:pPr>
      <w:r>
        <w:rPr>
          <w:rFonts w:hint="eastAsia" w:ascii="仿宋_GB2312" w:hAnsi="楷体" w:eastAsia="仿宋_GB2312"/>
          <w:color w:val="000000" w:themeColor="text1"/>
          <w:kern w:val="0"/>
          <w:sz w:val="32"/>
          <w:szCs w:val="32"/>
          <w:u w:val="none"/>
          <w:lang w:eastAsia="zh-CN"/>
          <w14:textFill>
            <w14:solidFill>
              <w14:schemeClr w14:val="tx1"/>
            </w14:solidFill>
          </w14:textFill>
        </w:rPr>
        <w:t>洪洞县农业农村局</w:t>
      </w:r>
      <w:r>
        <w:rPr>
          <w:rFonts w:ascii="仿宋_GB2312" w:hAnsi="楷体" w:eastAsia="仿宋_GB2312"/>
          <w:color w:val="000000" w:themeColor="text1"/>
          <w:kern w:val="0"/>
          <w:sz w:val="32"/>
          <w:szCs w:val="32"/>
          <w14:textFill>
            <w14:solidFill>
              <w14:schemeClr w14:val="tx1"/>
            </w14:solidFill>
          </w14:textFill>
        </w:rPr>
        <w:t>202</w:t>
      </w:r>
      <w:r>
        <w:rPr>
          <w:rFonts w:hint="eastAsia" w:ascii="仿宋_GB2312" w:hAnsi="楷体" w:eastAsia="仿宋_GB2312"/>
          <w:color w:val="000000" w:themeColor="text1"/>
          <w:kern w:val="0"/>
          <w:sz w:val="32"/>
          <w:szCs w:val="32"/>
          <w:lang w:val="en-US" w:eastAsia="zh-CN"/>
          <w14:textFill>
            <w14:solidFill>
              <w14:schemeClr w14:val="tx1"/>
            </w14:solidFill>
          </w14:textFill>
        </w:rPr>
        <w:t>2</w:t>
      </w:r>
      <w:r>
        <w:rPr>
          <w:rFonts w:hint="eastAsia" w:ascii="仿宋_GB2312" w:hAnsi="楷体" w:eastAsia="仿宋_GB2312"/>
          <w:color w:val="000000" w:themeColor="text1"/>
          <w:kern w:val="0"/>
          <w:sz w:val="32"/>
          <w:szCs w:val="32"/>
          <w14:textFill>
            <w14:solidFill>
              <w14:schemeClr w14:val="tx1"/>
            </w14:solidFill>
          </w14:textFill>
        </w:rPr>
        <w:t>年一般公共预算支出预算</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6513.6491</w:t>
      </w:r>
      <w:r>
        <w:rPr>
          <w:rFonts w:hint="eastAsia" w:ascii="仿宋_GB2312" w:hAnsi="楷体" w:eastAsia="仿宋_GB2312"/>
          <w:color w:val="000000" w:themeColor="text1"/>
          <w:kern w:val="0"/>
          <w:sz w:val="32"/>
          <w:szCs w:val="32"/>
          <w14:textFill>
            <w14:solidFill>
              <w14:schemeClr w14:val="tx1"/>
            </w14:solidFill>
          </w14:textFill>
        </w:rPr>
        <w:t>万元，与上年相比</w:t>
      </w:r>
      <w:r>
        <w:rPr>
          <w:rFonts w:hint="eastAsia" w:ascii="仿宋_GB2312" w:hAnsi="楷体" w:eastAsia="仿宋_GB2312"/>
          <w:color w:val="000000" w:themeColor="text1"/>
          <w:kern w:val="0"/>
          <w:sz w:val="32"/>
          <w:szCs w:val="32"/>
          <w:lang w:eastAsia="zh-CN"/>
          <w14:textFill>
            <w14:solidFill>
              <w14:schemeClr w14:val="tx1"/>
            </w14:solidFill>
          </w14:textFill>
        </w:rPr>
        <w:t>减少</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1787.74</w:t>
      </w:r>
      <w:r>
        <w:rPr>
          <w:rFonts w:hint="eastAsia" w:ascii="仿宋_GB2312" w:hAnsi="楷体" w:eastAsia="仿宋_GB2312"/>
          <w:color w:val="000000" w:themeColor="text1"/>
          <w:kern w:val="0"/>
          <w:sz w:val="32"/>
          <w:szCs w:val="32"/>
          <w14:textFill>
            <w14:solidFill>
              <w14:schemeClr w14:val="tx1"/>
            </w14:solidFill>
          </w14:textFill>
        </w:rPr>
        <w:t>万元，</w:t>
      </w:r>
      <w:r>
        <w:rPr>
          <w:rFonts w:hint="eastAsia" w:ascii="仿宋_GB2312" w:hAnsi="楷体" w:eastAsia="仿宋_GB2312"/>
          <w:color w:val="000000" w:themeColor="text1"/>
          <w:kern w:val="0"/>
          <w:sz w:val="32"/>
          <w:szCs w:val="32"/>
          <w:lang w:eastAsia="zh-CN"/>
          <w14:textFill>
            <w14:solidFill>
              <w14:schemeClr w14:val="tx1"/>
            </w14:solidFill>
          </w14:textFill>
        </w:rPr>
        <w:t>减少</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21.54</w:t>
      </w:r>
      <w:r>
        <w:rPr>
          <w:rFonts w:ascii="仿宋_GB2312" w:hAnsi="楷体" w:eastAsia="仿宋_GB2312"/>
          <w:color w:val="000000" w:themeColor="text1"/>
          <w:kern w:val="0"/>
          <w:sz w:val="32"/>
          <w:szCs w:val="32"/>
          <w14:textFill>
            <w14:solidFill>
              <w14:schemeClr w14:val="tx1"/>
            </w14:solidFill>
          </w14:textFill>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eastAsia="zh-CN"/>
          <w14:textFill>
            <w14:solidFill>
              <w14:schemeClr w14:val="tx1"/>
            </w14:solidFill>
          </w14:textFill>
        </w:rPr>
        <w:t>：</w:t>
      </w:r>
      <w:r>
        <w:rPr>
          <w:rFonts w:hint="eastAsia" w:ascii="仿宋_GB2312" w:hAnsi="楷体" w:eastAsia="仿宋_GB2312"/>
          <w:color w:val="000000" w:themeColor="text1"/>
          <w:kern w:val="0"/>
          <w:sz w:val="32"/>
          <w:szCs w:val="32"/>
          <w:lang w:val="en-US" w:eastAsia="zh-CN"/>
          <w14:textFill>
            <w14:solidFill>
              <w14:schemeClr w14:val="tx1"/>
            </w14:solidFill>
          </w14:textFill>
        </w:rPr>
        <w:t>去年有提前下达省级农业生产发展专项资金列入预算，今年无提前下达此项资金；巩固拓展脱贫攻坚成果有效衔接乡村振兴2022年度县级配套资金列入基金科目。</w:t>
      </w:r>
    </w:p>
    <w:p w14:paraId="38520A44">
      <w:pPr>
        <w:keepNext w:val="0"/>
        <w:keepLines w:val="0"/>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14:paraId="50859031">
      <w:pPr>
        <w:keepNext w:val="0"/>
        <w:keepLines w:val="0"/>
        <w:pageBreakBefore w:val="0"/>
        <w:widowControl/>
        <w:kinsoku/>
        <w:wordWrap/>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洪洞县农业农村局</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u w:val="single"/>
          <w:lang w:val="en-US" w:eastAsia="zh-CN"/>
        </w:rPr>
        <w:t>1303.0411</w:t>
      </w:r>
      <w:r>
        <w:rPr>
          <w:rFonts w:hint="eastAsia" w:ascii="仿宋_GB2312" w:hAnsi="楷体" w:eastAsia="仿宋_GB2312"/>
          <w:kern w:val="0"/>
          <w:sz w:val="32"/>
          <w:szCs w:val="32"/>
        </w:rPr>
        <w:t>万元，其中：</w:t>
      </w:r>
    </w:p>
    <w:p w14:paraId="083F3DC6">
      <w:pPr>
        <w:keepNext w:val="0"/>
        <w:keepLines w:val="0"/>
        <w:pageBreakBefore w:val="0"/>
        <w:widowControl/>
        <w:kinsoku/>
        <w:wordWrap/>
        <w:overflowPunct/>
        <w:topLinePunct w:val="0"/>
        <w:bidi w:val="0"/>
        <w:snapToGrid/>
        <w:spacing w:line="560" w:lineRule="exact"/>
        <w:ind w:firstLine="641"/>
        <w:textAlignment w:val="auto"/>
        <w:rPr>
          <w:rFonts w:ascii="仿宋_GB2312" w:hAnsi="楷体" w:eastAsia="仿宋_GB2312"/>
          <w:kern w:val="0"/>
          <w:sz w:val="32"/>
          <w:szCs w:val="32"/>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1203.6535</w:t>
      </w:r>
      <w:r>
        <w:rPr>
          <w:rFonts w:hint="eastAsia" w:ascii="仿宋_GB2312" w:hAnsi="楷体" w:eastAsia="仿宋_GB2312"/>
          <w:kern w:val="0"/>
          <w:sz w:val="32"/>
          <w:szCs w:val="32"/>
        </w:rPr>
        <w:t>万元。主要包括：基本工资、津贴补贴、奖金、绩效工资、</w:t>
      </w:r>
      <w:r>
        <w:rPr>
          <w:rFonts w:hint="eastAsia" w:ascii="仿宋_GB2312" w:hAnsi="楷体" w:eastAsia="仿宋_GB2312"/>
          <w:kern w:val="0"/>
          <w:sz w:val="32"/>
          <w:szCs w:val="32"/>
          <w:lang w:eastAsia="zh-CN"/>
        </w:rPr>
        <w:t>机关事业单位基本养老保险缴费、职工基本医疗保险缴费、</w:t>
      </w:r>
      <w:r>
        <w:rPr>
          <w:rFonts w:hint="eastAsia" w:ascii="仿宋_GB2312" w:hAnsi="楷体" w:eastAsia="仿宋_GB2312"/>
          <w:kern w:val="0"/>
          <w:sz w:val="32"/>
          <w:szCs w:val="32"/>
        </w:rPr>
        <w:t>住房公积金、</w:t>
      </w:r>
      <w:r>
        <w:rPr>
          <w:rFonts w:hint="eastAsia" w:ascii="仿宋_GB2312" w:hAnsi="楷体" w:eastAsia="仿宋_GB2312"/>
          <w:kern w:val="0"/>
          <w:sz w:val="32"/>
          <w:szCs w:val="32"/>
          <w:lang w:eastAsia="zh-CN"/>
        </w:rPr>
        <w:t>退休费、生活补助</w:t>
      </w:r>
      <w:r>
        <w:rPr>
          <w:rFonts w:hint="eastAsia" w:ascii="仿宋_GB2312" w:hAnsi="楷体" w:eastAsia="仿宋_GB2312"/>
          <w:kern w:val="0"/>
          <w:sz w:val="32"/>
          <w:szCs w:val="32"/>
        </w:rPr>
        <w:t>。</w:t>
      </w:r>
    </w:p>
    <w:p w14:paraId="2EB68CC2">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99.3876</w:t>
      </w:r>
      <w:r>
        <w:rPr>
          <w:rFonts w:hint="eastAsia" w:ascii="仿宋_GB2312" w:hAnsi="楷体" w:eastAsia="仿宋_GB2312"/>
          <w:kern w:val="0"/>
          <w:sz w:val="32"/>
          <w:szCs w:val="32"/>
        </w:rPr>
        <w:t>万元。主要包括：办公费、印刷费、</w:t>
      </w:r>
      <w:r>
        <w:rPr>
          <w:rFonts w:hint="eastAsia" w:ascii="仿宋_GB2312" w:hAnsi="楷体" w:eastAsia="仿宋_GB2312"/>
          <w:kern w:val="0"/>
          <w:sz w:val="32"/>
          <w:szCs w:val="32"/>
          <w:lang w:eastAsia="zh-CN"/>
        </w:rPr>
        <w:t>水费、</w:t>
      </w:r>
      <w:r>
        <w:rPr>
          <w:rFonts w:hint="eastAsia" w:ascii="仿宋_GB2312" w:hAnsi="楷体" w:eastAsia="仿宋_GB2312"/>
          <w:kern w:val="0"/>
          <w:sz w:val="32"/>
          <w:szCs w:val="32"/>
        </w:rPr>
        <w:t>电费、邮电费、差旅费、维修（护）费、</w:t>
      </w:r>
      <w:r>
        <w:rPr>
          <w:rFonts w:hint="eastAsia" w:ascii="仿宋_GB2312" w:hAnsi="楷体" w:eastAsia="仿宋_GB2312"/>
          <w:kern w:val="0"/>
          <w:sz w:val="32"/>
          <w:szCs w:val="32"/>
          <w:lang w:eastAsia="zh-CN"/>
        </w:rPr>
        <w:t>培训费、委托业务费、</w:t>
      </w:r>
      <w:r>
        <w:rPr>
          <w:rFonts w:hint="eastAsia" w:ascii="仿宋_GB2312" w:hAnsi="楷体" w:eastAsia="仿宋_GB2312"/>
          <w:kern w:val="0"/>
          <w:sz w:val="32"/>
          <w:szCs w:val="32"/>
        </w:rPr>
        <w:t>工会经费、福利费、公务用车运行维护费、其他交通费用</w:t>
      </w:r>
      <w:r>
        <w:rPr>
          <w:rFonts w:hint="eastAsia" w:ascii="仿宋_GB2312" w:hAnsi="楷体" w:eastAsia="仿宋_GB2312"/>
          <w:kern w:val="0"/>
          <w:sz w:val="32"/>
          <w:szCs w:val="32"/>
          <w:lang w:eastAsia="zh-CN"/>
        </w:rPr>
        <w:t>、其他商品和服务支出</w:t>
      </w:r>
    </w:p>
    <w:p w14:paraId="1EF7CB57">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14:paraId="1EEE169B">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color w:val="000000" w:themeColor="text1"/>
          <w:kern w:val="0"/>
          <w:sz w:val="32"/>
          <w:szCs w:val="32"/>
          <w14:textFill>
            <w14:solidFill>
              <w14:schemeClr w14:val="tx1"/>
            </w14:solidFill>
          </w14:textFill>
        </w:rPr>
      </w:pPr>
      <w:r>
        <w:rPr>
          <w:rFonts w:hint="eastAsia" w:ascii="仿宋_GB2312" w:hAnsi="楷体" w:eastAsia="仿宋_GB2312"/>
          <w:kern w:val="0"/>
          <w:sz w:val="32"/>
          <w:szCs w:val="32"/>
          <w:u w:val="none"/>
          <w:lang w:eastAsia="zh-CN"/>
        </w:rPr>
        <w:t>洪洞县农业农村局</w:t>
      </w:r>
      <w:r>
        <w:rPr>
          <w:rFonts w:ascii="仿宋_GB2312" w:hAnsi="楷体" w:eastAsia="仿宋_GB2312"/>
          <w:kern w:val="0"/>
          <w:sz w:val="32"/>
          <w:szCs w:val="32"/>
        </w:rPr>
        <w:t>202</w:t>
      </w:r>
      <w:r>
        <w:rPr>
          <w:rFonts w:hint="eastAsia" w:ascii="仿宋_GB2312" w:hAnsi="楷体" w:eastAsia="仿宋_GB2312"/>
          <w:kern w:val="0"/>
          <w:sz w:val="32"/>
          <w:szCs w:val="32"/>
        </w:rPr>
        <w:t>1年政府性基金支出预算支出</w:t>
      </w:r>
      <w:r>
        <w:rPr>
          <w:rFonts w:hint="eastAsia" w:ascii="仿宋_GB2312" w:hAnsi="楷体" w:eastAsia="仿宋_GB2312"/>
          <w:kern w:val="0"/>
          <w:sz w:val="32"/>
          <w:szCs w:val="32"/>
          <w:u w:val="single"/>
          <w:lang w:val="en-US" w:eastAsia="zh-CN"/>
        </w:rPr>
        <w:t>1200</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1000</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83.33</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themeColor="text1"/>
          <w:kern w:val="0"/>
          <w:sz w:val="32"/>
          <w:szCs w:val="32"/>
          <w:lang w:eastAsia="zh-CN"/>
          <w14:textFill>
            <w14:solidFill>
              <w14:schemeClr w14:val="tx1"/>
            </w14:solidFill>
          </w14:textFill>
        </w:rPr>
        <w:t>主要原因是</w:t>
      </w:r>
      <w:r>
        <w:rPr>
          <w:rFonts w:hint="eastAsia" w:ascii="仿宋_GB2312" w:hAnsi="楷体" w:eastAsia="仿宋_GB2312"/>
          <w:color w:val="000000" w:themeColor="text1"/>
          <w:kern w:val="0"/>
          <w:sz w:val="32"/>
          <w:szCs w:val="32"/>
          <w:lang w:val="en-US" w:eastAsia="zh-CN"/>
          <w14:textFill>
            <w14:solidFill>
              <w14:schemeClr w14:val="tx1"/>
            </w14:solidFill>
          </w14:textFill>
        </w:rPr>
        <w:t>巩固拓展脱贫攻坚成果有效衔接乡村振兴2022年度县级配套资金列入基金科目。</w:t>
      </w:r>
    </w:p>
    <w:p w14:paraId="57BAD2CE">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14:paraId="0D369529">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洪洞县农业农村局</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u w:val="single"/>
          <w:lang w:val="en-US" w:eastAsia="zh-CN"/>
        </w:rPr>
        <w:t>4</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14:paraId="558330A6">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000000" w:themeColor="text1"/>
          <w:kern w:val="0"/>
          <w:sz w:val="32"/>
          <w:szCs w:val="32"/>
          <w:lang w:eastAsia="zh-CN"/>
          <w14:textFill>
            <w14:solidFill>
              <w14:schemeClr w14:val="tx1"/>
            </w14:solidFill>
          </w14:textFill>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color w:val="000000" w:themeColor="text1"/>
          <w:kern w:val="0"/>
          <w:sz w:val="32"/>
          <w:szCs w:val="32"/>
          <w14:textFill>
            <w14:solidFill>
              <w14:schemeClr w14:val="tx1"/>
            </w14:solidFill>
          </w14:textFill>
        </w:rPr>
        <w:t>。</w:t>
      </w:r>
      <w:r>
        <w:rPr>
          <w:rFonts w:hint="eastAsia" w:ascii="仿宋_GB2312" w:hAnsi="楷体" w:eastAsia="仿宋_GB2312"/>
          <w:color w:val="000000" w:themeColor="text1"/>
          <w:kern w:val="0"/>
          <w:sz w:val="32"/>
          <w:szCs w:val="32"/>
          <w:lang w:eastAsia="zh-CN"/>
          <w14:textFill>
            <w14:solidFill>
              <w14:schemeClr w14:val="tx1"/>
            </w14:solidFill>
          </w14:textFill>
        </w:rPr>
        <w:t>与上年预算相同。</w:t>
      </w:r>
    </w:p>
    <w:p w14:paraId="390D721D">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u w:val="single"/>
          <w:lang w:val="en-US" w:eastAsia="zh-CN"/>
        </w:rPr>
        <w:t>4</w:t>
      </w:r>
      <w:r>
        <w:rPr>
          <w:rFonts w:hint="eastAsia" w:ascii="仿宋_GB2312" w:hAnsi="楷体" w:eastAsia="仿宋_GB2312"/>
          <w:kern w:val="0"/>
          <w:sz w:val="32"/>
          <w:szCs w:val="32"/>
        </w:rPr>
        <w:t>万元。其中：</w:t>
      </w:r>
    </w:p>
    <w:p w14:paraId="75A3358C">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000000" w:themeColor="text1"/>
          <w:kern w:val="0"/>
          <w:sz w:val="32"/>
          <w:szCs w:val="32"/>
          <w:lang w:eastAsia="zh-CN"/>
          <w14:textFill>
            <w14:solidFill>
              <w14:schemeClr w14:val="tx1"/>
            </w14:solidFill>
          </w14:textFill>
        </w:rPr>
      </w:pPr>
      <w:r>
        <w:rPr>
          <w:rFonts w:hint="eastAsia" w:ascii="仿宋_GB2312" w:hAnsi="楷体" w:eastAsia="仿宋_GB2312"/>
          <w:kern w:val="0"/>
          <w:sz w:val="32"/>
          <w:szCs w:val="32"/>
          <w:lang w:eastAsia="zh-CN"/>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color w:val="000000" w:themeColor="text1"/>
          <w:kern w:val="0"/>
          <w:sz w:val="32"/>
          <w:szCs w:val="32"/>
          <w14:textFill>
            <w14:solidFill>
              <w14:schemeClr w14:val="tx1"/>
            </w14:solidFill>
          </w14:textFill>
        </w:rPr>
        <w:t>。</w:t>
      </w:r>
      <w:r>
        <w:rPr>
          <w:rFonts w:hint="eastAsia" w:ascii="仿宋_GB2312" w:hAnsi="楷体" w:eastAsia="仿宋_GB2312"/>
          <w:color w:val="000000" w:themeColor="text1"/>
          <w:kern w:val="0"/>
          <w:sz w:val="32"/>
          <w:szCs w:val="32"/>
          <w:lang w:eastAsia="zh-CN"/>
          <w14:textFill>
            <w14:solidFill>
              <w14:schemeClr w14:val="tx1"/>
            </w14:solidFill>
          </w14:textFill>
        </w:rPr>
        <w:t>与上年预算相同。</w:t>
      </w:r>
    </w:p>
    <w:p w14:paraId="6722E6EF">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default" w:ascii="仿宋_GB2312" w:hAnsi="楷体" w:eastAsia="仿宋_GB2312"/>
          <w:color w:val="000000" w:themeColor="text1"/>
          <w:kern w:val="0"/>
          <w:sz w:val="32"/>
          <w:szCs w:val="32"/>
          <w:lang w:val="en-US" w:eastAsia="zh-CN"/>
          <w14:textFill>
            <w14:solidFill>
              <w14:schemeClr w14:val="tx1"/>
            </w14:solidFill>
          </w14:textFill>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u w:val="single"/>
          <w:lang w:val="en-US" w:eastAsia="zh-CN"/>
        </w:rPr>
        <w:t>4</w:t>
      </w:r>
      <w:r>
        <w:rPr>
          <w:rFonts w:hint="eastAsia" w:ascii="仿宋_GB2312" w:hAnsi="楷体" w:eastAsia="仿宋_GB2312"/>
          <w:kern w:val="0"/>
          <w:sz w:val="32"/>
          <w:szCs w:val="32"/>
        </w:rPr>
        <w:t>万元，比上年预算</w:t>
      </w:r>
      <w:r>
        <w:rPr>
          <w:rFonts w:hint="eastAsia" w:ascii="仿宋_GB2312" w:hAnsi="楷体" w:eastAsia="仿宋_GB2312"/>
          <w:kern w:val="0"/>
          <w:sz w:val="32"/>
          <w:szCs w:val="32"/>
          <w:lang w:val="en-US" w:eastAsia="zh-CN"/>
        </w:rPr>
        <w:t>增加2</w:t>
      </w:r>
      <w:r>
        <w:rPr>
          <w:rFonts w:hint="eastAsia" w:ascii="仿宋_GB2312" w:hAnsi="楷体" w:eastAsia="仿宋_GB2312"/>
          <w:kern w:val="0"/>
          <w:sz w:val="32"/>
          <w:szCs w:val="32"/>
        </w:rPr>
        <w:t>万元。</w:t>
      </w:r>
      <w:r>
        <w:rPr>
          <w:rFonts w:hint="eastAsia" w:ascii="仿宋_GB2312" w:hAnsi="楷体" w:eastAsia="仿宋_GB2312"/>
          <w:color w:val="000000" w:themeColor="text1"/>
          <w:kern w:val="0"/>
          <w:sz w:val="32"/>
          <w:szCs w:val="32"/>
          <w:lang w:eastAsia="zh-CN"/>
          <w14:textFill>
            <w14:solidFill>
              <w14:schemeClr w14:val="tx1"/>
            </w14:solidFill>
          </w14:textFill>
        </w:rPr>
        <w:t>原因为：</w:t>
      </w:r>
      <w:r>
        <w:rPr>
          <w:rFonts w:hint="eastAsia" w:ascii="仿宋_GB2312" w:hAnsi="楷体" w:eastAsia="仿宋_GB2312"/>
          <w:color w:val="000000" w:themeColor="text1"/>
          <w:kern w:val="0"/>
          <w:sz w:val="32"/>
          <w:szCs w:val="32"/>
          <w:lang w:val="en-US" w:eastAsia="zh-CN"/>
          <w14:textFill>
            <w14:solidFill>
              <w14:schemeClr w14:val="tx1"/>
            </w14:solidFill>
          </w14:textFill>
        </w:rPr>
        <w:t>因机构改革洪洞县经营管理服务中心公务用车及编制一辆并入局机关。</w:t>
      </w:r>
    </w:p>
    <w:p w14:paraId="0D4D7C40">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color w:val="000000" w:themeColor="text1"/>
          <w:kern w:val="0"/>
          <w:sz w:val="32"/>
          <w:szCs w:val="32"/>
          <w:lang w:eastAsia="zh-CN"/>
          <w14:textFill>
            <w14:solidFill>
              <w14:schemeClr w14:val="tx1"/>
            </w14:solidFill>
          </w14:textFill>
        </w:rPr>
      </w:pPr>
      <w:r>
        <w:rPr>
          <w:rFonts w:ascii="仿宋_GB2312" w:hAnsi="楷体" w:eastAsia="仿宋_GB2312"/>
          <w:color w:val="000000" w:themeColor="text1"/>
          <w:kern w:val="0"/>
          <w:sz w:val="32"/>
          <w:szCs w:val="32"/>
          <w14:textFill>
            <w14:solidFill>
              <w14:schemeClr w14:val="tx1"/>
            </w14:solidFill>
          </w14:textFill>
        </w:rPr>
        <w:t>3</w:t>
      </w:r>
      <w:r>
        <w:rPr>
          <w:rFonts w:hint="eastAsia" w:ascii="仿宋_GB2312" w:hAnsi="楷体" w:eastAsia="仿宋_GB2312"/>
          <w:color w:val="000000" w:themeColor="text1"/>
          <w:kern w:val="0"/>
          <w:sz w:val="32"/>
          <w:szCs w:val="32"/>
          <w14:textFill>
            <w14:solidFill>
              <w14:schemeClr w14:val="tx1"/>
            </w14:solidFill>
          </w14:textFill>
        </w:rPr>
        <w:t>．公务接待费预算支出</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0</w:t>
      </w:r>
      <w:r>
        <w:rPr>
          <w:rFonts w:hint="eastAsia" w:ascii="仿宋_GB2312" w:hAnsi="楷体" w:eastAsia="仿宋_GB2312"/>
          <w:color w:val="000000" w:themeColor="text1"/>
          <w:kern w:val="0"/>
          <w:sz w:val="32"/>
          <w:szCs w:val="32"/>
          <w14:textFill>
            <w14:solidFill>
              <w14:schemeClr w14:val="tx1"/>
            </w14:solidFill>
          </w14:textFill>
        </w:rPr>
        <w:t>万元。</w:t>
      </w:r>
      <w:r>
        <w:rPr>
          <w:rFonts w:hint="eastAsia" w:ascii="仿宋_GB2312" w:hAnsi="楷体" w:eastAsia="仿宋_GB2312"/>
          <w:color w:val="000000" w:themeColor="text1"/>
          <w:kern w:val="0"/>
          <w:sz w:val="32"/>
          <w:szCs w:val="32"/>
          <w:lang w:eastAsia="zh-CN"/>
          <w14:textFill>
            <w14:solidFill>
              <w14:schemeClr w14:val="tx1"/>
            </w14:solidFill>
          </w14:textFill>
        </w:rPr>
        <w:t>与上年预算相同。</w:t>
      </w:r>
    </w:p>
    <w:p w14:paraId="2F9EF776">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color w:val="000000" w:themeColor="text1"/>
          <w:kern w:val="0"/>
          <w:sz w:val="32"/>
          <w:szCs w:val="32"/>
          <w14:textFill>
            <w14:solidFill>
              <w14:schemeClr w14:val="tx1"/>
            </w14:solidFill>
          </w14:textFill>
        </w:rPr>
      </w:pPr>
      <w:r>
        <w:rPr>
          <w:rFonts w:hint="eastAsia" w:ascii="黑体" w:hAnsi="Times New Roman" w:eastAsia="黑体" w:cs="FZHTK--GBK1-0"/>
          <w:color w:val="000000" w:themeColor="text1"/>
          <w:kern w:val="0"/>
          <w:sz w:val="32"/>
          <w:szCs w:val="32"/>
          <w14:textFill>
            <w14:solidFill>
              <w14:schemeClr w14:val="tx1"/>
            </w14:solidFill>
          </w14:textFill>
        </w:rPr>
        <w:t>九、一般公共预算机关运行经费支出预算情况说明</w:t>
      </w:r>
    </w:p>
    <w:p w14:paraId="510796E6">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color w:val="000000" w:themeColor="text1"/>
          <w:kern w:val="0"/>
          <w:sz w:val="32"/>
          <w:szCs w:val="32"/>
          <w:lang w:eastAsia="zh-CN"/>
          <w14:textFill>
            <w14:solidFill>
              <w14:schemeClr w14:val="tx1"/>
            </w14:solidFill>
          </w14:textFill>
        </w:rPr>
      </w:pPr>
      <w:r>
        <w:rPr>
          <w:rFonts w:ascii="仿宋_GB2312" w:hAnsi="楷体" w:eastAsia="仿宋_GB2312"/>
          <w:color w:val="000000" w:themeColor="text1"/>
          <w:kern w:val="0"/>
          <w:sz w:val="32"/>
          <w:szCs w:val="32"/>
          <w14:textFill>
            <w14:solidFill>
              <w14:schemeClr w14:val="tx1"/>
            </w14:solidFill>
          </w14:textFill>
        </w:rPr>
        <w:t>202</w:t>
      </w:r>
      <w:r>
        <w:rPr>
          <w:rFonts w:hint="eastAsia" w:ascii="仿宋_GB2312" w:hAnsi="楷体" w:eastAsia="仿宋_GB2312"/>
          <w:color w:val="000000" w:themeColor="text1"/>
          <w:kern w:val="0"/>
          <w:sz w:val="32"/>
          <w:szCs w:val="32"/>
          <w:lang w:val="en-US" w:eastAsia="zh-CN"/>
          <w14:textFill>
            <w14:solidFill>
              <w14:schemeClr w14:val="tx1"/>
            </w14:solidFill>
          </w14:textFill>
        </w:rPr>
        <w:t>2</w:t>
      </w:r>
      <w:r>
        <w:rPr>
          <w:rFonts w:hint="eastAsia" w:ascii="仿宋_GB2312" w:hAnsi="楷体" w:eastAsia="仿宋_GB2312"/>
          <w:color w:val="000000" w:themeColor="text1"/>
          <w:kern w:val="0"/>
          <w:sz w:val="32"/>
          <w:szCs w:val="32"/>
          <w14:textFill>
            <w14:solidFill>
              <w14:schemeClr w14:val="tx1"/>
            </w14:solidFill>
          </w14:textFill>
        </w:rPr>
        <w:t>年本部门一般公共预算机关运行经费预算支出</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99.3876</w:t>
      </w:r>
      <w:r>
        <w:rPr>
          <w:rFonts w:hint="eastAsia" w:ascii="仿宋_GB2312" w:hAnsi="楷体" w:eastAsia="仿宋_GB2312"/>
          <w:color w:val="000000" w:themeColor="text1"/>
          <w:kern w:val="0"/>
          <w:sz w:val="32"/>
          <w:szCs w:val="32"/>
          <w14:textFill>
            <w14:solidFill>
              <w14:schemeClr w14:val="tx1"/>
            </w14:solidFill>
          </w14:textFill>
        </w:rPr>
        <w:t>万元，与上年相比</w:t>
      </w:r>
      <w:r>
        <w:rPr>
          <w:rFonts w:hint="eastAsia" w:ascii="仿宋_GB2312" w:hAnsi="楷体" w:eastAsia="仿宋_GB2312"/>
          <w:color w:val="000000" w:themeColor="text1"/>
          <w:kern w:val="0"/>
          <w:sz w:val="32"/>
          <w:szCs w:val="32"/>
          <w:lang w:eastAsia="zh-CN"/>
          <w14:textFill>
            <w14:solidFill>
              <w14:schemeClr w14:val="tx1"/>
            </w14:solidFill>
          </w14:textFill>
        </w:rPr>
        <w:t>减少</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8.6724</w:t>
      </w:r>
      <w:r>
        <w:rPr>
          <w:rFonts w:hint="eastAsia" w:ascii="仿宋_GB2312" w:hAnsi="楷体" w:eastAsia="仿宋_GB2312"/>
          <w:color w:val="000000" w:themeColor="text1"/>
          <w:kern w:val="0"/>
          <w:sz w:val="32"/>
          <w:szCs w:val="32"/>
          <w14:textFill>
            <w14:solidFill>
              <w14:schemeClr w14:val="tx1"/>
            </w14:solidFill>
          </w14:textFill>
        </w:rPr>
        <w:t>万元，</w:t>
      </w:r>
      <w:r>
        <w:rPr>
          <w:rFonts w:hint="eastAsia" w:ascii="仿宋_GB2312" w:hAnsi="楷体" w:eastAsia="仿宋_GB2312"/>
          <w:color w:val="000000" w:themeColor="text1"/>
          <w:kern w:val="0"/>
          <w:sz w:val="32"/>
          <w:szCs w:val="32"/>
          <w:lang w:eastAsia="zh-CN"/>
          <w14:textFill>
            <w14:solidFill>
              <w14:schemeClr w14:val="tx1"/>
            </w14:solidFill>
          </w14:textFill>
        </w:rPr>
        <w:t>减少</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8.02</w:t>
      </w:r>
      <w:r>
        <w:rPr>
          <w:rFonts w:ascii="仿宋_GB2312" w:hAnsi="楷体" w:eastAsia="仿宋_GB2312"/>
          <w:color w:val="000000" w:themeColor="text1"/>
          <w:kern w:val="0"/>
          <w:sz w:val="32"/>
          <w:szCs w:val="32"/>
          <w14:textFill>
            <w14:solidFill>
              <w14:schemeClr w14:val="tx1"/>
            </w14:solidFill>
          </w14:textFill>
        </w:rPr>
        <w:t>%</w:t>
      </w:r>
      <w:r>
        <w:rPr>
          <w:rFonts w:hint="eastAsia" w:ascii="仿宋_GB2312" w:hAnsi="楷体" w:eastAsia="仿宋_GB2312"/>
          <w:color w:val="000000" w:themeColor="text1"/>
          <w:kern w:val="0"/>
          <w:sz w:val="32"/>
          <w:szCs w:val="32"/>
          <w14:textFill>
            <w14:solidFill>
              <w14:schemeClr w14:val="tx1"/>
            </w14:solidFill>
          </w14:textFill>
        </w:rPr>
        <w:t>。主要原因是人员调动</w:t>
      </w:r>
      <w:r>
        <w:rPr>
          <w:rFonts w:hint="eastAsia" w:ascii="仿宋_GB2312" w:hAnsi="楷体" w:eastAsia="仿宋_GB2312"/>
          <w:color w:val="000000" w:themeColor="text1"/>
          <w:kern w:val="0"/>
          <w:sz w:val="32"/>
          <w:szCs w:val="32"/>
          <w:lang w:val="en-US" w:eastAsia="zh-CN"/>
          <w14:textFill>
            <w14:solidFill>
              <w14:schemeClr w14:val="tx1"/>
            </w14:solidFill>
          </w14:textFill>
        </w:rPr>
        <w:t>及减少</w:t>
      </w:r>
      <w:r>
        <w:rPr>
          <w:rFonts w:hint="eastAsia" w:ascii="仿宋_GB2312" w:hAnsi="楷体" w:eastAsia="仿宋_GB2312"/>
          <w:color w:val="000000" w:themeColor="text1"/>
          <w:kern w:val="0"/>
          <w:sz w:val="32"/>
          <w:szCs w:val="32"/>
          <w14:textFill>
            <w14:solidFill>
              <w14:schemeClr w14:val="tx1"/>
            </w14:solidFill>
          </w14:textFill>
        </w:rPr>
        <w:t>，工会经费和福利费减少</w:t>
      </w:r>
      <w:r>
        <w:rPr>
          <w:rFonts w:hint="eastAsia" w:ascii="仿宋_GB2312" w:hAnsi="楷体" w:eastAsia="仿宋_GB2312"/>
          <w:color w:val="000000" w:themeColor="text1"/>
          <w:kern w:val="0"/>
          <w:sz w:val="32"/>
          <w:szCs w:val="32"/>
          <w:lang w:eastAsia="zh-CN"/>
          <w14:textFill>
            <w14:solidFill>
              <w14:schemeClr w14:val="tx1"/>
            </w14:solidFill>
          </w14:textFill>
        </w:rPr>
        <w:t>。</w:t>
      </w:r>
    </w:p>
    <w:p w14:paraId="4A683D2D">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lang w:eastAsia="zh-CN"/>
        </w:rPr>
      </w:pPr>
      <w:r>
        <w:rPr>
          <w:rFonts w:hint="eastAsia" w:ascii="黑体" w:hAnsi="Times New Roman" w:eastAsia="黑体" w:cs="FZHTK--GBK1-0"/>
          <w:kern w:val="0"/>
          <w:sz w:val="32"/>
          <w:szCs w:val="32"/>
        </w:rPr>
        <w:t>十、政府采购支出预算情况说明</w:t>
      </w:r>
    </w:p>
    <w:p w14:paraId="630157B2">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w:t>
      </w:r>
      <w:r>
        <w:rPr>
          <w:rFonts w:hint="eastAsia" w:ascii="仿宋_GB2312" w:hAnsi="楷体" w:eastAsia="仿宋_GB2312"/>
          <w:kern w:val="0"/>
          <w:sz w:val="32"/>
          <w:szCs w:val="32"/>
          <w:lang w:val="en-US" w:eastAsia="zh-CN"/>
        </w:rPr>
        <w:t>22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u w:val="single"/>
          <w:lang w:val="en-US" w:eastAsia="zh-CN"/>
        </w:rPr>
        <w:t>98.55</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u w:val="single"/>
          <w:lang w:val="en-US" w:eastAsia="zh-CN"/>
        </w:rPr>
        <w:t>4.65</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u w:val="single"/>
          <w:lang w:val="en-US" w:eastAsia="zh-CN"/>
        </w:rPr>
        <w:t>93.9</w:t>
      </w:r>
      <w:r>
        <w:rPr>
          <w:rFonts w:hint="eastAsia" w:ascii="仿宋_GB2312" w:hAnsi="楷体" w:eastAsia="仿宋_GB2312"/>
          <w:kern w:val="0"/>
          <w:sz w:val="32"/>
          <w:szCs w:val="32"/>
        </w:rPr>
        <w:t>万元。</w:t>
      </w:r>
    </w:p>
    <w:p w14:paraId="39FBE7E8">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14:paraId="1D3476C5">
      <w:pPr>
        <w:keepNext w:val="0"/>
        <w:keepLines w:val="0"/>
        <w:widowControl w:val="0"/>
        <w:suppressLineNumbers w:val="0"/>
        <w:spacing w:before="0" w:beforeAutospacing="0" w:after="0" w:afterAutospacing="0" w:line="600" w:lineRule="exact"/>
        <w:ind w:left="0" w:right="0" w:firstLine="640" w:firstLineChars="200"/>
        <w:jc w:val="both"/>
        <w:rPr>
          <w:rFonts w:hint="default" w:ascii="仿宋" w:hAnsi="仿宋" w:eastAsia="仿宋_GB2312" w:cs="仿宋"/>
          <w:sz w:val="32"/>
          <w:szCs w:val="32"/>
          <w:lang w:val="en-US" w:eastAsia="zh-CN"/>
        </w:rPr>
      </w:pPr>
      <w:r>
        <w:rPr>
          <w:rFonts w:hint="eastAsia" w:ascii="仿宋_GB2312" w:hAnsi="Times New Roman" w:eastAsia="仿宋_GB2312" w:cs="仿宋_GB2312"/>
          <w:kern w:val="2"/>
          <w:sz w:val="32"/>
          <w:szCs w:val="32"/>
          <w:lang w:val="en-US" w:eastAsia="zh-CN" w:bidi="ar"/>
        </w:rPr>
        <w:t>1、车辆情况：</w:t>
      </w:r>
      <w:r>
        <w:rPr>
          <w:rFonts w:hint="eastAsia" w:ascii="仿宋_GB2312" w:hAnsi="楷体" w:eastAsia="仿宋_GB2312"/>
          <w:kern w:val="0"/>
          <w:sz w:val="32"/>
          <w:szCs w:val="32"/>
        </w:rPr>
        <w:t>本部门共有车辆</w:t>
      </w:r>
      <w:r>
        <w:rPr>
          <w:rFonts w:hint="eastAsia" w:ascii="仿宋_GB2312" w:hAnsi="楷体" w:eastAsia="仿宋_GB2312"/>
          <w:kern w:val="0"/>
          <w:sz w:val="32"/>
          <w:szCs w:val="32"/>
          <w:u w:val="single"/>
          <w:lang w:val="en-US" w:eastAsia="zh-CN"/>
        </w:rPr>
        <w:t>21</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u w:val="single"/>
          <w:lang w:val="en-US" w:eastAsia="zh-CN"/>
        </w:rPr>
        <w:t>1</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u w:val="single"/>
          <w:lang w:val="en-US" w:eastAsia="zh-CN"/>
        </w:rPr>
        <w:t>1</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lang w:val="en-US" w:eastAsia="zh-CN"/>
        </w:rPr>
        <w:t>19</w:t>
      </w:r>
      <w:r>
        <w:rPr>
          <w:rFonts w:hint="eastAsia" w:ascii="仿宋_GB2312" w:hAnsi="楷体" w:eastAsia="仿宋_GB2312"/>
          <w:kern w:val="0"/>
          <w:sz w:val="32"/>
          <w:szCs w:val="32"/>
        </w:rPr>
        <w:t>辆、其他用车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w:t>
      </w:r>
      <w:r>
        <w:rPr>
          <w:rFonts w:hint="eastAsia" w:ascii="仿宋_GB2312" w:hAnsi="楷体" w:eastAsia="仿宋_GB2312"/>
          <w:kern w:val="0"/>
          <w:sz w:val="32"/>
          <w:szCs w:val="32"/>
          <w:lang w:val="en-US" w:eastAsia="zh-CN"/>
        </w:rPr>
        <w:t>。</w:t>
      </w:r>
    </w:p>
    <w:p w14:paraId="2BAAAC80">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 w:hAnsi="仿宋" w:eastAsia="仿宋" w:cs="仿宋"/>
          <w:sz w:val="32"/>
          <w:szCs w:val="32"/>
          <w:lang w:val="en-US"/>
        </w:rPr>
      </w:pPr>
      <w:r>
        <w:rPr>
          <w:rFonts w:hint="eastAsia" w:ascii="仿宋_GB2312" w:hAnsi="Times New Roman" w:eastAsia="仿宋_GB2312" w:cs="仿宋_GB2312"/>
          <w:kern w:val="2"/>
          <w:sz w:val="32"/>
          <w:szCs w:val="32"/>
          <w:lang w:val="en-US" w:eastAsia="zh-CN" w:bidi="ar"/>
        </w:rPr>
        <w:t>2、房屋情况：</w:t>
      </w:r>
      <w:r>
        <w:rPr>
          <w:rFonts w:hint="eastAsia" w:ascii="仿宋" w:hAnsi="仿宋" w:eastAsia="仿宋" w:cs="仿宋"/>
          <w:color w:val="000000"/>
          <w:kern w:val="2"/>
          <w:sz w:val="32"/>
          <w:szCs w:val="32"/>
          <w:lang w:val="en-US" w:eastAsia="zh-CN" w:bidi="ar"/>
        </w:rPr>
        <w:t>本部门房屋面积41.6平方米。</w:t>
      </w:r>
    </w:p>
    <w:p w14:paraId="15D253AD">
      <w:pPr>
        <w:keepNext w:val="0"/>
        <w:keepLines w:val="0"/>
        <w:pageBreakBefore w:val="0"/>
        <w:widowControl/>
        <w:kinsoku/>
        <w:wordWrap/>
        <w:overflowPunct/>
        <w:topLinePunct w:val="0"/>
        <w:autoSpaceDE/>
        <w:autoSpaceDN/>
        <w:bidi w:val="0"/>
        <w:adjustRightInd/>
        <w:snapToGrid/>
        <w:spacing w:line="560" w:lineRule="exact"/>
        <w:ind w:firstLine="636"/>
        <w:textAlignment w:val="auto"/>
        <w:rPr>
          <w:rFonts w:hint="eastAsia" w:ascii="仿宋_GB2312" w:eastAsia="仿宋_GB2312"/>
          <w:b w:val="0"/>
          <w:bCs w:val="0"/>
          <w:sz w:val="32"/>
          <w:szCs w:val="32"/>
          <w:u w:val="none"/>
          <w:lang w:val="en-US" w:eastAsia="zh-CN"/>
        </w:rPr>
      </w:pPr>
      <w:r>
        <w:rPr>
          <w:rFonts w:hint="eastAsia" w:ascii="仿宋_GB2312" w:hAnsi="Times New Roman" w:eastAsia="仿宋_GB2312" w:cs="仿宋_GB2312"/>
          <w:kern w:val="2"/>
          <w:sz w:val="32"/>
          <w:szCs w:val="32"/>
          <w:lang w:val="en-US" w:eastAsia="zh-CN" w:bidi="ar"/>
        </w:rPr>
        <w:t>3、其他国有资产占有使用情况：洪洞县农业农村局</w:t>
      </w:r>
      <w:r>
        <w:rPr>
          <w:rFonts w:hint="eastAsia" w:ascii="仿宋_GB2312" w:hAnsi="Times New Roman" w:eastAsia="仿宋_GB2312" w:cs="Times New Roman"/>
          <w:color w:val="000000"/>
          <w:kern w:val="2"/>
          <w:sz w:val="32"/>
          <w:szCs w:val="32"/>
          <w:lang w:val="en-US" w:eastAsia="zh-CN" w:bidi="ar"/>
        </w:rPr>
        <w:t>现</w:t>
      </w:r>
      <w:r>
        <w:rPr>
          <w:rFonts w:hint="eastAsia" w:ascii="仿宋_GB2312" w:eastAsia="仿宋_GB2312"/>
          <w:b w:val="0"/>
          <w:bCs w:val="0"/>
          <w:sz w:val="32"/>
          <w:szCs w:val="32"/>
          <w:lang w:eastAsia="zh-CN"/>
        </w:rPr>
        <w:t>有价值</w:t>
      </w:r>
      <w:r>
        <w:rPr>
          <w:rFonts w:hint="eastAsia" w:ascii="仿宋_GB2312" w:eastAsia="仿宋_GB2312"/>
          <w:b w:val="0"/>
          <w:bCs w:val="0"/>
          <w:sz w:val="32"/>
          <w:szCs w:val="32"/>
          <w:lang w:val="en-US" w:eastAsia="zh-CN"/>
        </w:rPr>
        <w:t>50万元以上通用设备0</w:t>
      </w:r>
      <w:r>
        <w:rPr>
          <w:rFonts w:hint="eastAsia" w:ascii="仿宋_GB2312" w:eastAsia="仿宋_GB2312"/>
          <w:b w:val="0"/>
          <w:bCs w:val="0"/>
          <w:sz w:val="32"/>
          <w:szCs w:val="32"/>
          <w:u w:val="none"/>
          <w:lang w:val="en-US" w:eastAsia="zh-CN"/>
        </w:rPr>
        <w:t>台（套）;单位价值100万元以上专用设备</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u w:val="none"/>
          <w:lang w:val="en-US" w:eastAsia="zh-CN"/>
        </w:rPr>
        <w:t>台（套）。</w:t>
      </w:r>
    </w:p>
    <w:p w14:paraId="36286AC0">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14:paraId="08FBDF53">
      <w:pPr>
        <w:keepNext w:val="0"/>
        <w:keepLines w:val="0"/>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hint="eastAsia" w:ascii="仿宋_GB2312" w:hAnsi="楷体" w:eastAsia="仿宋_GB2312"/>
          <w:kern w:val="0"/>
          <w:sz w:val="32"/>
          <w:szCs w:val="32"/>
        </w:rPr>
      </w:pP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lang w:val="en-US" w:eastAsia="zh-CN"/>
        </w:rPr>
        <w:t>35</w:t>
      </w:r>
      <w:r>
        <w:rPr>
          <w:rFonts w:hint="eastAsia" w:ascii="仿宋_GB2312" w:hAnsi="楷体" w:eastAsia="仿宋_GB2312"/>
          <w:color w:val="auto"/>
          <w:kern w:val="0"/>
          <w:sz w:val="32"/>
          <w:szCs w:val="32"/>
        </w:rPr>
        <w:t>个</w:t>
      </w:r>
      <w:r>
        <w:rPr>
          <w:rFonts w:hint="eastAsia" w:ascii="仿宋_GB2312" w:hAnsi="楷体" w:eastAsia="仿宋_GB2312"/>
          <w:kern w:val="0"/>
          <w:sz w:val="32"/>
          <w:szCs w:val="32"/>
        </w:rPr>
        <w:t>项目纳入绩效目标管理，涉及财政性资金合计</w:t>
      </w:r>
      <w:r>
        <w:rPr>
          <w:rFonts w:hint="eastAsia" w:ascii="仿宋_GB2312" w:hAnsi="楷体" w:eastAsia="仿宋_GB2312"/>
          <w:kern w:val="0"/>
          <w:sz w:val="32"/>
          <w:szCs w:val="32"/>
          <w:u w:val="single"/>
          <w:lang w:val="en-US" w:eastAsia="zh-CN"/>
        </w:rPr>
        <w:t>7713.6491</w:t>
      </w:r>
      <w:r>
        <w:rPr>
          <w:rFonts w:hint="eastAsia" w:ascii="仿宋_GB2312" w:hAnsi="楷体" w:eastAsia="仿宋_GB2312"/>
          <w:kern w:val="0"/>
          <w:sz w:val="32"/>
          <w:szCs w:val="32"/>
        </w:rPr>
        <w:t>万元。本部门单位整体支出（</w:t>
      </w:r>
      <w:r>
        <w:rPr>
          <w:rFonts w:hint="eastAsia" w:ascii="仿宋_GB2312" w:hAnsi="楷体" w:eastAsia="仿宋_GB2312"/>
          <w:kern w:val="0"/>
          <w:sz w:val="32"/>
          <w:szCs w:val="32"/>
        </w:rPr>
        <w:sym w:font="Wingdings 2" w:char="0052"/>
      </w:r>
      <w:r>
        <w:rPr>
          <w:rFonts w:hint="eastAsia" w:ascii="仿宋_GB2312" w:hAnsi="楷体" w:eastAsia="仿宋_GB2312"/>
          <w:kern w:val="0"/>
          <w:sz w:val="32"/>
          <w:szCs w:val="32"/>
        </w:rPr>
        <w:t>纳入、□未纳入）绩效目标管理，涉及财政性资金</w:t>
      </w:r>
      <w:r>
        <w:rPr>
          <w:rFonts w:hint="eastAsia" w:ascii="仿宋_GB2312" w:hAnsi="楷体" w:eastAsia="仿宋_GB2312"/>
          <w:kern w:val="0"/>
          <w:sz w:val="32"/>
          <w:szCs w:val="32"/>
          <w:u w:val="single"/>
          <w:lang w:val="en-US" w:eastAsia="zh-CN"/>
        </w:rPr>
        <w:t xml:space="preserve"> 7713.6491 </w:t>
      </w:r>
      <w:r>
        <w:rPr>
          <w:rFonts w:hint="eastAsia" w:ascii="仿宋_GB2312" w:hAnsi="楷体" w:eastAsia="仿宋_GB2312"/>
          <w:kern w:val="0"/>
          <w:sz w:val="32"/>
          <w:szCs w:val="32"/>
        </w:rPr>
        <w:t>万元。</w:t>
      </w:r>
    </w:p>
    <w:p w14:paraId="3F3E9D59">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楷体" w:eastAsia="仿宋_GB2312"/>
          <w:kern w:val="0"/>
          <w:sz w:val="32"/>
          <w:szCs w:val="32"/>
        </w:rPr>
      </w:pPr>
      <w:r>
        <w:rPr>
          <w:rFonts w:hint="eastAsia" w:ascii="黑体" w:hAnsi="楷体" w:eastAsia="黑体"/>
          <w:kern w:val="0"/>
          <w:sz w:val="32"/>
          <w:szCs w:val="32"/>
        </w:rPr>
        <w:t>十三、其他说明</w:t>
      </w:r>
    </w:p>
    <w:p w14:paraId="21DC6B48">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14:paraId="07DEB211">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黑体" w:eastAsia="仿宋_GB2312"/>
          <w:b w:val="0"/>
          <w:bCs/>
          <w:color w:val="000000" w:themeColor="text1"/>
          <w:spacing w:val="-16"/>
          <w:kern w:val="0"/>
          <w:sz w:val="32"/>
          <w:szCs w:val="32"/>
          <w14:textFill>
            <w14:solidFill>
              <w14:schemeClr w14:val="tx1"/>
            </w14:solidFill>
          </w14:textFill>
        </w:rPr>
      </w:pPr>
      <w:r>
        <w:rPr>
          <w:rFonts w:hint="eastAsia" w:ascii="仿宋_GB2312" w:hAnsi="黑体" w:eastAsia="仿宋_GB2312"/>
          <w:b w:val="0"/>
          <w:bCs/>
          <w:color w:val="000000" w:themeColor="text1"/>
          <w:spacing w:val="-16"/>
          <w:kern w:val="0"/>
          <w:sz w:val="32"/>
          <w:szCs w:val="32"/>
          <w14:textFill>
            <w14:solidFill>
              <w14:schemeClr w14:val="tx1"/>
            </w14:solidFill>
          </w14:textFill>
        </w:rPr>
        <w:t>本部门未使用政府债券</w:t>
      </w:r>
    </w:p>
    <w:p w14:paraId="61837C0F">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（二）其他</w:t>
      </w:r>
    </w:p>
    <w:p w14:paraId="5A169F66">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无</w:t>
      </w:r>
    </w:p>
    <w:p w14:paraId="7C638738">
      <w:pPr>
        <w:pStyle w:val="2"/>
        <w:rPr>
          <w:rFonts w:hint="default" w:eastAsia="仿宋_GB2312"/>
          <w:color w:val="000000" w:themeColor="text1"/>
          <w:lang w:val="en-US" w:eastAsia="zh-CN"/>
          <w14:textFill>
            <w14:solidFill>
              <w14:schemeClr w14:val="tx1"/>
            </w14:solidFill>
          </w14:textFill>
        </w:rPr>
      </w:pPr>
    </w:p>
    <w:p w14:paraId="611F8813">
      <w:pPr>
        <w:pStyle w:val="2"/>
        <w:keepNext w:val="0"/>
        <w:keepLines w:val="0"/>
        <w:pageBreakBefore w:val="0"/>
        <w:tabs>
          <w:tab w:val="left" w:pos="673"/>
        </w:tabs>
        <w:kinsoku/>
        <w:wordWrap/>
        <w:overflowPunct/>
        <w:topLinePunct w:val="0"/>
        <w:bidi w:val="0"/>
        <w:snapToGrid/>
        <w:spacing w:line="560" w:lineRule="exact"/>
        <w:textAlignment w:val="auto"/>
        <w:rPr>
          <w:rFonts w:hint="eastAsia" w:ascii="黑体" w:hAnsi="Times New Roman" w:eastAsia="黑体"/>
          <w:kern w:val="0"/>
          <w:sz w:val="32"/>
          <w:szCs w:val="32"/>
        </w:rPr>
      </w:pPr>
      <w:r>
        <w:rPr>
          <w:rFonts w:hint="eastAsia"/>
          <w:lang w:eastAsia="zh-CN"/>
        </w:rPr>
        <w:tab/>
      </w:r>
      <w:r>
        <w:rPr>
          <w:rFonts w:hint="eastAsia" w:ascii="方正小标宋简体" w:hAnsi="楷体" w:eastAsia="方正小标宋简体"/>
          <w:kern w:val="0"/>
          <w:sz w:val="36"/>
          <w:szCs w:val="36"/>
        </w:rPr>
        <w:t>第四部分  名词解释</w:t>
      </w:r>
    </w:p>
    <w:p w14:paraId="69449CF8">
      <w:pPr>
        <w:keepNext w:val="0"/>
        <w:keepLines w:val="0"/>
        <w:pageBreakBefore w:val="0"/>
        <w:widowControl/>
        <w:kinsoku/>
        <w:wordWrap/>
        <w:overflowPunct/>
        <w:topLinePunct w:val="0"/>
        <w:autoSpaceDE/>
        <w:autoSpaceDN/>
        <w:bidi w:val="0"/>
        <w:adjustRightInd/>
        <w:snapToGrid/>
        <w:spacing w:line="560" w:lineRule="exact"/>
        <w:ind w:firstLine="635"/>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14:paraId="6F546DAA">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14:paraId="15098279">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14:paraId="45F65618">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14:paraId="4F5FFCA1">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14:paraId="2D161EC5">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14:paraId="39FE4E78">
      <w:pPr>
        <w:pStyle w:val="9"/>
        <w:keepNext w:val="0"/>
        <w:keepLines w:val="0"/>
        <w:pageBreakBefore w:val="0"/>
        <w:kinsoku/>
        <w:wordWrap/>
        <w:overflowPunct/>
        <w:topLinePunct w:val="0"/>
        <w:bidi w:val="0"/>
        <w:snapToGrid/>
        <w:spacing w:line="560" w:lineRule="exact"/>
        <w:ind w:left="720" w:firstLine="0" w:firstLineChars="0"/>
        <w:textAlignment w:val="auto"/>
        <w:rPr>
          <w:rFonts w:hint="eastAsia" w:ascii="仿宋_GB2312" w:eastAsia="仿宋_GB2312"/>
          <w:sz w:val="32"/>
          <w:szCs w:val="32"/>
        </w:rPr>
      </w:pPr>
      <w:r>
        <w:rPr>
          <w:rFonts w:hint="eastAsia" w:ascii="仿宋_GB2312" w:hAnsi="仿宋" w:eastAsia="仿宋_GB2312"/>
          <w:kern w:val="0"/>
          <w:sz w:val="32"/>
          <w:szCs w:val="32"/>
          <w:lang w:eastAsia="zh-CN"/>
        </w:rPr>
        <w:t>七、</w:t>
      </w:r>
      <w:r>
        <w:rPr>
          <w:rFonts w:hint="eastAsia" w:ascii="仿宋_GB2312" w:eastAsia="仿宋_GB2312"/>
          <w:sz w:val="32"/>
          <w:szCs w:val="32"/>
        </w:rPr>
        <w:t>政府购买服务：根据我国现行政策规定，政府购</w:t>
      </w:r>
    </w:p>
    <w:p w14:paraId="5CEDA28D">
      <w:pPr>
        <w:keepNext w:val="0"/>
        <w:keepLines w:val="0"/>
        <w:pageBreakBefore w:val="0"/>
        <w:kinsoku/>
        <w:wordWrap/>
        <w:overflowPunct/>
        <w:topLinePunct w:val="0"/>
        <w:bidi w:val="0"/>
        <w:snapToGrid/>
        <w:spacing w:line="560" w:lineRule="exact"/>
        <w:textAlignment w:val="auto"/>
        <w:rPr>
          <w:rFonts w:hint="eastAsia" w:ascii="仿宋_GB2312" w:eastAsia="仿宋_GB2312"/>
          <w:sz w:val="32"/>
          <w:szCs w:val="32"/>
          <w:lang w:eastAsia="zh-CN"/>
        </w:rPr>
      </w:pPr>
      <w:r>
        <w:rPr>
          <w:rFonts w:hint="eastAsia" w:ascii="仿宋_GB2312" w:eastAsia="仿宋_GB2312"/>
          <w:sz w:val="32"/>
          <w:szCs w:val="32"/>
        </w:rPr>
        <w:t>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eastAsia="仿宋_GB2312"/>
          <w:sz w:val="32"/>
          <w:szCs w:val="32"/>
          <w:lang w:eastAsia="zh-CN"/>
        </w:rPr>
        <w:t>。</w:t>
      </w:r>
    </w:p>
    <w:p w14:paraId="5637C9FE">
      <w:pPr>
        <w:widowControl/>
        <w:spacing w:line="560" w:lineRule="exact"/>
        <w:ind w:firstLine="636"/>
        <w:rPr>
          <w:rFonts w:hint="eastAsia" w:ascii="仿宋_GB2312" w:hAnsi="仿宋" w:eastAsia="仿宋_GB2312"/>
          <w:kern w:val="0"/>
          <w:sz w:val="32"/>
          <w:szCs w:val="32"/>
          <w:lang w:eastAsia="zh-CN"/>
        </w:rPr>
      </w:pPr>
    </w:p>
    <w:p w14:paraId="26E26181">
      <w:pPr>
        <w:widowControl/>
        <w:spacing w:line="560" w:lineRule="exact"/>
        <w:ind w:firstLine="636"/>
        <w:rPr>
          <w:rFonts w:hint="eastAsia" w:ascii="仿宋_GB2312" w:hAnsi="仿宋" w:eastAsia="仿宋_GB2312"/>
          <w:kern w:val="0"/>
          <w:sz w:val="32"/>
          <w:szCs w:val="32"/>
          <w:lang w:eastAsia="zh-CN"/>
        </w:rPr>
      </w:pPr>
    </w:p>
    <w:p w14:paraId="7A15F7A3">
      <w:pPr>
        <w:widowControl/>
        <w:spacing w:line="560" w:lineRule="exact"/>
        <w:ind w:firstLine="636"/>
        <w:rPr>
          <w:rFonts w:hint="eastAsia" w:ascii="仿宋_GB2312" w:hAnsi="仿宋" w:eastAsia="仿宋_GB2312"/>
          <w:kern w:val="0"/>
          <w:sz w:val="32"/>
          <w:szCs w:val="32"/>
          <w:lang w:eastAsia="zh-CN"/>
        </w:rPr>
      </w:pPr>
    </w:p>
    <w:p w14:paraId="049C80AF">
      <w:pPr>
        <w:widowControl/>
        <w:spacing w:line="560" w:lineRule="exact"/>
        <w:ind w:firstLine="636"/>
        <w:rPr>
          <w:rFonts w:hint="eastAsia" w:ascii="仿宋_GB2312" w:hAnsi="仿宋" w:eastAsia="仿宋_GB2312"/>
          <w:kern w:val="0"/>
          <w:sz w:val="32"/>
          <w:szCs w:val="32"/>
          <w:lang w:eastAsia="zh-CN"/>
        </w:rPr>
      </w:pPr>
    </w:p>
    <w:p w14:paraId="37D274D2">
      <w:pPr>
        <w:widowControl/>
        <w:spacing w:line="560" w:lineRule="exact"/>
        <w:ind w:firstLine="636"/>
        <w:rPr>
          <w:rFonts w:hint="eastAsia" w:ascii="仿宋_GB2312" w:hAnsi="仿宋" w:eastAsia="仿宋_GB2312"/>
          <w:kern w:val="0"/>
          <w:sz w:val="32"/>
          <w:szCs w:val="32"/>
          <w:lang w:eastAsia="zh-CN"/>
        </w:rPr>
      </w:pPr>
    </w:p>
    <w:p w14:paraId="4A2DF10B">
      <w:pPr>
        <w:widowControl/>
        <w:spacing w:line="560" w:lineRule="exact"/>
        <w:ind w:firstLine="636"/>
        <w:rPr>
          <w:rFonts w:hint="eastAsia" w:ascii="仿宋_GB2312" w:hAnsi="仿宋" w:eastAsia="仿宋_GB2312"/>
          <w:kern w:val="0"/>
          <w:sz w:val="32"/>
          <w:szCs w:val="32"/>
          <w:lang w:eastAsia="zh-CN"/>
        </w:rPr>
      </w:pPr>
    </w:p>
    <w:p w14:paraId="2417693F">
      <w:pPr>
        <w:widowControl/>
        <w:spacing w:line="560" w:lineRule="exact"/>
        <w:ind w:firstLine="5123" w:firstLineChars="1601"/>
        <w:rPr>
          <w:rFonts w:hint="eastAsia" w:ascii="仿宋_GB2312" w:hAnsi="仿宋" w:eastAsia="仿宋_GB2312"/>
          <w:kern w:val="0"/>
          <w:sz w:val="32"/>
          <w:szCs w:val="32"/>
          <w:lang w:eastAsia="zh-CN"/>
        </w:rPr>
      </w:pPr>
      <w:r>
        <w:rPr>
          <w:rFonts w:hint="eastAsia" w:ascii="仿宋_GB2312" w:hAnsi="仿宋" w:eastAsia="仿宋_GB2312"/>
          <w:kern w:val="0"/>
          <w:sz w:val="32"/>
          <w:szCs w:val="32"/>
          <w:lang w:eastAsia="zh-CN"/>
        </w:rPr>
        <w:t>洪洞县农业农村局</w:t>
      </w:r>
    </w:p>
    <w:p w14:paraId="730C25B6">
      <w:pPr>
        <w:widowControl/>
        <w:spacing w:line="560" w:lineRule="exact"/>
        <w:ind w:firstLine="5123" w:firstLineChars="1601"/>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2022年2月18日</w:t>
      </w:r>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otum">
    <w:altName w:val="Malgun Gothic"/>
    <w:panose1 w:val="020B0600000101010101"/>
    <w:charset w:val="81"/>
    <w:family w:val="swiss"/>
    <w:pitch w:val="default"/>
    <w:sig w:usb0="00000000" w:usb1="00000000"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FZHTK--GBK1-0">
    <w:altName w:val="微软雅黑"/>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83BE0">
    <w:pPr>
      <w:pStyle w:val="4"/>
      <w:framePr w:w="1137" w:h="777" w:hRule="exact" w:wrap="around" w:vAnchor="text" w:hAnchor="page" w:x="9140" w:y="-189"/>
      <w:rPr>
        <w:rStyle w:val="8"/>
        <w:rFonts w:hint="eastAsia"/>
        <w:sz w:val="28"/>
        <w:szCs w:val="28"/>
      </w:rPr>
    </w:pPr>
    <w:r>
      <w:rPr>
        <w:rStyle w:val="8"/>
        <w:rFonts w:hint="eastAsia"/>
        <w:sz w:val="28"/>
        <w:szCs w:val="28"/>
      </w:rPr>
      <w:t xml:space="preserve">— </w:t>
    </w:r>
    <w:r>
      <w:rPr>
        <w:sz w:val="28"/>
        <w:szCs w:val="28"/>
      </w:rPr>
      <w:fldChar w:fldCharType="begin"/>
    </w:r>
    <w:r>
      <w:rPr>
        <w:rStyle w:val="8"/>
        <w:sz w:val="28"/>
        <w:szCs w:val="28"/>
      </w:rPr>
      <w:instrText xml:space="preserve">PAGE  </w:instrText>
    </w:r>
    <w:r>
      <w:rPr>
        <w:sz w:val="28"/>
        <w:szCs w:val="28"/>
      </w:rPr>
      <w:fldChar w:fldCharType="separate"/>
    </w:r>
    <w:r>
      <w:rPr>
        <w:rStyle w:val="8"/>
        <w:sz w:val="28"/>
        <w:szCs w:val="28"/>
      </w:rPr>
      <w:t>2</w:t>
    </w:r>
    <w:r>
      <w:rPr>
        <w:sz w:val="28"/>
        <w:szCs w:val="28"/>
      </w:rPr>
      <w:fldChar w:fldCharType="end"/>
    </w:r>
    <w:r>
      <w:rPr>
        <w:rStyle w:val="8"/>
        <w:rFonts w:hint="eastAsia"/>
        <w:sz w:val="28"/>
        <w:szCs w:val="28"/>
      </w:rPr>
      <w:t xml:space="preserve"> —</w:t>
    </w:r>
  </w:p>
  <w:p w14:paraId="40F87CB2">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40498">
    <w:pPr>
      <w:pStyle w:val="4"/>
      <w:framePr w:w="1137" w:h="777" w:hRule="exact" w:wrap="around" w:vAnchor="text" w:hAnchor="page" w:x="9140" w:y="-189"/>
      <w:rPr>
        <w:rStyle w:val="8"/>
        <w:rFonts w:hint="eastAsia"/>
        <w:sz w:val="28"/>
        <w:szCs w:val="28"/>
      </w:rPr>
    </w:pPr>
    <w:r>
      <w:rPr>
        <w:rStyle w:val="8"/>
        <w:rFonts w:hint="eastAsia"/>
        <w:sz w:val="28"/>
        <w:szCs w:val="28"/>
      </w:rPr>
      <w:t xml:space="preserve">— </w:t>
    </w:r>
    <w:r>
      <w:rPr>
        <w:sz w:val="28"/>
        <w:szCs w:val="28"/>
      </w:rPr>
      <w:fldChar w:fldCharType="begin"/>
    </w:r>
    <w:r>
      <w:rPr>
        <w:rStyle w:val="8"/>
        <w:sz w:val="28"/>
        <w:szCs w:val="28"/>
      </w:rPr>
      <w:instrText xml:space="preserve">PAGE  </w:instrText>
    </w:r>
    <w:r>
      <w:rPr>
        <w:sz w:val="28"/>
        <w:szCs w:val="28"/>
      </w:rPr>
      <w:fldChar w:fldCharType="separate"/>
    </w:r>
    <w:r>
      <w:rPr>
        <w:rStyle w:val="8"/>
        <w:sz w:val="28"/>
        <w:szCs w:val="28"/>
      </w:rPr>
      <w:t>2</w:t>
    </w:r>
    <w:r>
      <w:rPr>
        <w:sz w:val="28"/>
        <w:szCs w:val="28"/>
      </w:rPr>
      <w:fldChar w:fldCharType="end"/>
    </w:r>
    <w:r>
      <w:rPr>
        <w:rStyle w:val="8"/>
        <w:rFonts w:hint="eastAsia"/>
        <w:sz w:val="28"/>
        <w:szCs w:val="28"/>
      </w:rPr>
      <w:t xml:space="preserve"> —</w:t>
    </w:r>
  </w:p>
  <w:p w14:paraId="58E4E0C6">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51322">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042B7">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A7D56"/>
    <w:rsid w:val="02F565AE"/>
    <w:rsid w:val="039561B9"/>
    <w:rsid w:val="042B5143"/>
    <w:rsid w:val="05395438"/>
    <w:rsid w:val="07EF7ED5"/>
    <w:rsid w:val="0A47574A"/>
    <w:rsid w:val="0BFF77F9"/>
    <w:rsid w:val="0DAB2E51"/>
    <w:rsid w:val="0E6D4339"/>
    <w:rsid w:val="120B3DD4"/>
    <w:rsid w:val="14B101FC"/>
    <w:rsid w:val="15FF01DE"/>
    <w:rsid w:val="168655DB"/>
    <w:rsid w:val="17C13C29"/>
    <w:rsid w:val="18BB6FD8"/>
    <w:rsid w:val="191B532F"/>
    <w:rsid w:val="1AD11A1D"/>
    <w:rsid w:val="1B395F40"/>
    <w:rsid w:val="1C334DB0"/>
    <w:rsid w:val="1CA878D2"/>
    <w:rsid w:val="1DFE6FCD"/>
    <w:rsid w:val="1E160478"/>
    <w:rsid w:val="204B6BA8"/>
    <w:rsid w:val="20F952B5"/>
    <w:rsid w:val="22FD7853"/>
    <w:rsid w:val="23D83E1C"/>
    <w:rsid w:val="24F609FE"/>
    <w:rsid w:val="25E66CC5"/>
    <w:rsid w:val="28FB39B3"/>
    <w:rsid w:val="29735AB9"/>
    <w:rsid w:val="2BBA7D56"/>
    <w:rsid w:val="2E230901"/>
    <w:rsid w:val="2F552BE6"/>
    <w:rsid w:val="2FE130A0"/>
    <w:rsid w:val="34A73974"/>
    <w:rsid w:val="362B4280"/>
    <w:rsid w:val="36CC184F"/>
    <w:rsid w:val="38284F1B"/>
    <w:rsid w:val="38A33139"/>
    <w:rsid w:val="39B27CB7"/>
    <w:rsid w:val="39F7485A"/>
    <w:rsid w:val="3FC85688"/>
    <w:rsid w:val="3FD2104C"/>
    <w:rsid w:val="3FF322B2"/>
    <w:rsid w:val="40CE3B96"/>
    <w:rsid w:val="40DE01D3"/>
    <w:rsid w:val="40FE2CBD"/>
    <w:rsid w:val="41D37AB0"/>
    <w:rsid w:val="434D1CD9"/>
    <w:rsid w:val="436A0EE2"/>
    <w:rsid w:val="436B2437"/>
    <w:rsid w:val="45D71D2E"/>
    <w:rsid w:val="45EF19F7"/>
    <w:rsid w:val="476D46F8"/>
    <w:rsid w:val="48515DC8"/>
    <w:rsid w:val="4C8524E4"/>
    <w:rsid w:val="4CE65BAE"/>
    <w:rsid w:val="4D8E7176"/>
    <w:rsid w:val="4ED92533"/>
    <w:rsid w:val="4F3F7D85"/>
    <w:rsid w:val="5026374E"/>
    <w:rsid w:val="530879CB"/>
    <w:rsid w:val="53560736"/>
    <w:rsid w:val="540A623A"/>
    <w:rsid w:val="54E45C26"/>
    <w:rsid w:val="550A1A86"/>
    <w:rsid w:val="56AA036D"/>
    <w:rsid w:val="59A57D21"/>
    <w:rsid w:val="5A781158"/>
    <w:rsid w:val="5AFE1C82"/>
    <w:rsid w:val="5C212A35"/>
    <w:rsid w:val="5D0053A6"/>
    <w:rsid w:val="5E9349AC"/>
    <w:rsid w:val="5F24793A"/>
    <w:rsid w:val="5F916509"/>
    <w:rsid w:val="60824919"/>
    <w:rsid w:val="60C96B76"/>
    <w:rsid w:val="61400557"/>
    <w:rsid w:val="62A15DCF"/>
    <w:rsid w:val="632125AF"/>
    <w:rsid w:val="6426363A"/>
    <w:rsid w:val="646709F5"/>
    <w:rsid w:val="67313B0C"/>
    <w:rsid w:val="69587CE5"/>
    <w:rsid w:val="69A12092"/>
    <w:rsid w:val="6BDE4547"/>
    <w:rsid w:val="6E277B0B"/>
    <w:rsid w:val="6F3015CD"/>
    <w:rsid w:val="728C7879"/>
    <w:rsid w:val="72D9206B"/>
    <w:rsid w:val="73047AD9"/>
    <w:rsid w:val="7388317E"/>
    <w:rsid w:val="73A11102"/>
    <w:rsid w:val="742328FC"/>
    <w:rsid w:val="74C952A9"/>
    <w:rsid w:val="750C77B8"/>
    <w:rsid w:val="756C15F4"/>
    <w:rsid w:val="767A2D9C"/>
    <w:rsid w:val="76A42B08"/>
    <w:rsid w:val="76EE5CA3"/>
    <w:rsid w:val="77DE0382"/>
    <w:rsid w:val="78952FC1"/>
    <w:rsid w:val="78CD26BE"/>
    <w:rsid w:val="78D77AB9"/>
    <w:rsid w:val="79881FD6"/>
    <w:rsid w:val="799B2C98"/>
    <w:rsid w:val="7AE260CF"/>
    <w:rsid w:val="7B605DDE"/>
    <w:rsid w:val="7C5B4AB5"/>
    <w:rsid w:val="7E2D4BAE"/>
    <w:rsid w:val="7EA62C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5"/>
    <w:basedOn w:val="1"/>
    <w:next w:val="1"/>
    <w:qFormat/>
    <w:uiPriority w:val="0"/>
    <w:pPr>
      <w:keepNext/>
      <w:keepLines/>
      <w:spacing w:before="280" w:after="290" w:line="376" w:lineRule="auto"/>
      <w:outlineLvl w:val="4"/>
    </w:pPr>
    <w:rPr>
      <w:b/>
      <w:bCs/>
      <w:sz w:val="28"/>
      <w:szCs w:val="28"/>
    </w:rPr>
  </w:style>
  <w:style w:type="character" w:default="1" w:styleId="7">
    <w:name w:val="Default Paragraph Font"/>
    <w:semiHidden/>
    <w:qFormat/>
    <w:uiPriority w:val="0"/>
  </w:style>
  <w:style w:type="table" w:default="1" w:styleId="6">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customStyle="1" w:styleId="2">
    <w:name w:val="No Spacing_ad81b47b-6779-4c76-b471-79375858c8cb"/>
    <w:basedOn w:val="1"/>
    <w:autoRedefine/>
    <w:qFormat/>
    <w:uiPriority w:val="0"/>
    <w:pPr>
      <w:ind w:firstLine="200" w:firstLineChars="200"/>
    </w:pPr>
    <w:rPr>
      <w:rFonts w:ascii="Cambria" w:hAnsi="Cambria"/>
      <w:sz w:val="24"/>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2021-04-28T02:34:00Z</dcterms:created>
  <dc:creator>Administrator</dc:creator>
  <cp:lastModifiedBy>Administrator</cp:lastModifiedBy>
  <cp:lastPrinted>2021-05-11T06:49:00Z</cp:lastPrinted>
  <dcterms:modified xsi:type="dcterms:W3CDTF">2025-02-27T14:46:51Z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939B5C51BFC54209A732D806537EEFF2</vt:lpwstr>
  </property>
</Properties>
</file>