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pacing w:line="560" w:lineRule="exact"/>
        <w:ind w:left="0" w:firstLine="880" w:firstLineChars="200"/>
        <w:jc w:val="center"/>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洪洞县民政局（本级）</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一、洪洞县民政局2022年预算收支总表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二、洪洞县民政局2022年预算收入总表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三、洪洞县民政局2022预算支出总表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四、洪洞县民政局2022年财政拨款收支总表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五、洪洞县民政局2022年一般公共预算支出预算表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六、洪洞县民政局2022年一般公共预算安排基本支出分经济科目表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七、洪洞县民政局2022年政府性基金预算收入预算表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八、洪洞县民政局2022年政府性基金预算支出预算表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九、洪洞县民政局2022年政府采购支出预算表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洪洞县民政局2022年</w:t>
      </w:r>
      <w:r>
        <w:rPr>
          <w:rFonts w:hint="eastAsia" w:ascii="仿宋_GB2312" w:eastAsia="仿宋_GB2312"/>
          <w:sz w:val="32"/>
          <w:szCs w:val="32"/>
        </w:rPr>
        <w:t>政府购买服务预算明细表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洪洞县民政局2022年机关运行经费预算财政拨款情况统计表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十二、洪洞县民政局2022年“三公”经费预算表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洪洞县民政局</w:t>
      </w:r>
      <w:r>
        <w:rPr>
          <w:rFonts w:hint="eastAsia" w:ascii="仿宋_GB2312" w:eastAsia="仿宋_GB2312"/>
          <w:sz w:val="32"/>
          <w:szCs w:val="32"/>
        </w:rPr>
        <w:t>2022年国有资本经营预算收支预算表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洪洞县民政局</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kinsoku/>
        <w:wordWrap/>
        <w:overflowPunct/>
        <w:topLinePunct w:val="0"/>
        <w:bidi w:val="0"/>
        <w:snapToGrid/>
        <w:spacing w:line="560" w:lineRule="exact"/>
        <w:ind w:left="0" w:firstLine="883" w:firstLineChars="200"/>
        <w:textAlignment w:val="auto"/>
        <w:rPr>
          <w:rFonts w:hint="eastAsia" w:ascii="方正小标宋简体" w:hAnsi="楷体" w:eastAsia="方正小标宋简体"/>
          <w:b/>
          <w:kern w:val="0"/>
          <w:sz w:val="44"/>
          <w:szCs w:val="44"/>
        </w:rPr>
      </w:pPr>
    </w:p>
    <w:p>
      <w:pPr>
        <w:keepNext w:val="0"/>
        <w:keepLines w:val="0"/>
        <w:pageBreakBefore w:val="0"/>
        <w:kinsoku/>
        <w:wordWrap/>
        <w:overflowPunct/>
        <w:topLinePunct w:val="0"/>
        <w:bidi w:val="0"/>
        <w:snapToGrid/>
        <w:spacing w:line="560" w:lineRule="exact"/>
        <w:ind w:left="0" w:firstLine="420" w:firstLineChars="200"/>
        <w:textAlignment w:val="auto"/>
        <w:rPr>
          <w:rFonts w:hint="eastAsia"/>
        </w:rPr>
      </w:pPr>
      <w:r>
        <w:rPr>
          <w:rFonts w:hint="eastAsia"/>
        </w:rPr>
        <w:br w:type="page"/>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洪洞县民政局（本级）</w:t>
      </w:r>
    </w:p>
    <w:p>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keepNext w:val="0"/>
        <w:keepLines w:val="0"/>
        <w:pageBreakBefore w:val="0"/>
        <w:widowControl/>
        <w:kinsoku/>
        <w:wordWrap/>
        <w:overflowPunct/>
        <w:topLinePunct w:val="0"/>
        <w:bidi w:val="0"/>
        <w:spacing w:line="560" w:lineRule="exact"/>
        <w:ind w:left="0" w:firstLine="640" w:firstLineChars="200"/>
        <w:rPr>
          <w:rFonts w:hint="eastAsia" w:ascii="黑体" w:hAnsi="楷体" w:eastAsia="黑体"/>
          <w:kern w:val="0"/>
          <w:sz w:val="32"/>
          <w:szCs w:val="32"/>
        </w:rPr>
      </w:pPr>
      <w:r>
        <w:rPr>
          <w:rFonts w:hint="eastAsia" w:ascii="黑体" w:hAnsi="楷体" w:eastAsia="黑体"/>
          <w:kern w:val="0"/>
          <w:sz w:val="32"/>
          <w:szCs w:val="32"/>
        </w:rPr>
        <w:t>一、主要职能</w:t>
      </w:r>
    </w:p>
    <w:p>
      <w:pPr>
        <w:keepNext w:val="0"/>
        <w:keepLines w:val="0"/>
        <w:pageBreakBefore w:val="0"/>
        <w:kinsoku/>
        <w:wordWrap/>
        <w:overflowPunct/>
        <w:topLinePunct w:val="0"/>
        <w:bidi w:val="0"/>
        <w:spacing w:line="560" w:lineRule="exact"/>
        <w:ind w:left="0" w:firstLine="640" w:firstLineChars="200"/>
      </w:pPr>
      <w:r>
        <w:rPr>
          <w:rFonts w:hint="eastAsia" w:ascii="仿宋_GB2312" w:hAnsi="仿宋" w:eastAsia="仿宋_GB2312" w:cs="Times New Roman"/>
          <w:kern w:val="2"/>
          <w:sz w:val="32"/>
          <w:szCs w:val="32"/>
          <w:lang w:val="en-US" w:eastAsia="zh-CN" w:bidi="ar"/>
        </w:rPr>
        <w:t>县民政局主要承担着</w:t>
      </w:r>
      <w:r>
        <w:rPr>
          <w:rFonts w:hint="eastAsia" w:ascii="仿宋_GB2312" w:hAnsi="仿宋_GB2312" w:eastAsia="仿宋_GB2312" w:cs="仿宋_GB2312"/>
          <w:sz w:val="32"/>
          <w:szCs w:val="32"/>
        </w:rPr>
        <w:t>组织实施民政事业的法律、法规和方针、政策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城乡居民最低生活保障、特困人员救助供养、临时救助</w:t>
      </w:r>
      <w:r>
        <w:rPr>
          <w:rFonts w:hint="eastAsia" w:ascii="仿宋_GB2312" w:hAnsi="仿宋_GB2312" w:eastAsia="仿宋_GB2312" w:cs="仿宋_GB2312"/>
          <w:sz w:val="32"/>
          <w:szCs w:val="32"/>
          <w:lang w:eastAsia="zh-CN"/>
        </w:rPr>
        <w:t>等救助工作；</w:t>
      </w:r>
      <w:r>
        <w:rPr>
          <w:rFonts w:hint="eastAsia" w:ascii="仿宋_GB2312" w:hAnsi="仿宋_GB2312" w:eastAsia="仿宋_GB2312" w:cs="仿宋_GB2312"/>
          <w:sz w:val="32"/>
          <w:szCs w:val="32"/>
        </w:rPr>
        <w:t>指导监督和协调本</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地名管理工作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拟定婚姻管理政策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殡葬管理政策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lang w:eastAsia="zh-CN"/>
        </w:rPr>
        <w:t>养老服务政策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残疾人权益保护政策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儿童救助保护政策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慈善事业发展政策</w:t>
      </w:r>
      <w:r>
        <w:rPr>
          <w:rFonts w:hint="eastAsia" w:ascii="仿宋_GB2312" w:hAnsi="仿宋" w:eastAsia="仿宋_GB2312" w:cs="Times New Roman"/>
          <w:kern w:val="2"/>
          <w:sz w:val="32"/>
          <w:szCs w:val="32"/>
          <w:lang w:val="en-US" w:eastAsia="zh-CN" w:bidi="ar"/>
        </w:rPr>
        <w:t>、</w:t>
      </w:r>
      <w:r>
        <w:rPr>
          <w:rFonts w:hint="eastAsia" w:ascii="仿宋_GB2312" w:hAnsi="仿宋_GB2312" w:eastAsia="仿宋_GB2312" w:cs="仿宋_GB2312"/>
          <w:sz w:val="32"/>
          <w:szCs w:val="32"/>
        </w:rPr>
        <w:t>志愿服务</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强化基本民生保障职能，为困难群众、孤老孤残孤儿等特殊群体提供基本社会服务</w:t>
      </w:r>
      <w:r>
        <w:rPr>
          <w:rFonts w:hint="eastAsia" w:ascii="仿宋_GB2312" w:hAnsi="仿宋_GB2312" w:eastAsia="仿宋_GB2312" w:cs="仿宋_GB2312"/>
          <w:sz w:val="32"/>
          <w:szCs w:val="32"/>
          <w:lang w:eastAsia="zh-CN"/>
        </w:rPr>
        <w:t>等</w:t>
      </w:r>
      <w:r>
        <w:rPr>
          <w:rFonts w:hint="eastAsia" w:ascii="仿宋_GB2312" w:hAnsi="仿宋" w:eastAsia="仿宋_GB2312" w:cs="Times New Roman"/>
          <w:kern w:val="2"/>
          <w:sz w:val="32"/>
          <w:szCs w:val="32"/>
          <w:lang w:val="en-US" w:eastAsia="zh-CN" w:bidi="ar"/>
        </w:rPr>
        <w:t>十五项民政业务的贯彻落实。</w:t>
      </w:r>
    </w:p>
    <w:p>
      <w:pPr>
        <w:keepNext w:val="0"/>
        <w:keepLines w:val="0"/>
        <w:pageBreakBefore w:val="0"/>
        <w:widowControl/>
        <w:kinsoku/>
        <w:wordWrap/>
        <w:overflowPunct/>
        <w:topLinePunct w:val="0"/>
        <w:bidi w:val="0"/>
        <w:spacing w:line="560" w:lineRule="exact"/>
        <w:ind w:left="0" w:firstLine="640" w:firstLineChars="200"/>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kinsoku/>
        <w:wordWrap/>
        <w:overflowPunct/>
        <w:topLinePunct w:val="0"/>
        <w:bidi w:val="0"/>
        <w:spacing w:line="560" w:lineRule="exact"/>
        <w:ind w:left="0" w:firstLine="640" w:firstLineChars="200"/>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仿宋_GB2312" w:hAnsi="仿宋" w:eastAsia="仿宋_GB2312" w:cs="Times New Roman"/>
          <w:kern w:val="2"/>
          <w:sz w:val="32"/>
          <w:szCs w:val="32"/>
          <w:lang w:val="en-US" w:eastAsia="zh-CN" w:bidi="ar"/>
        </w:rPr>
        <w:t>综合办公室、社会组织管理和养老服务股、社会事务股、基层政权和社区治理股4个股级行政股室</w:t>
      </w:r>
      <w:r>
        <w:rPr>
          <w:rFonts w:hint="eastAsia" w:ascii="仿宋_GB2312" w:hAnsi="楷体" w:eastAsia="仿宋_GB2312"/>
          <w:kern w:val="0"/>
          <w:sz w:val="32"/>
          <w:szCs w:val="32"/>
        </w:rPr>
        <w:t>。本部门下属单位包括：</w:t>
      </w:r>
      <w:r>
        <w:rPr>
          <w:rFonts w:hint="eastAsia" w:ascii="仿宋_GB2312" w:hAnsi="楷体" w:eastAsia="仿宋_GB2312"/>
          <w:color w:val="000000" w:themeColor="text1"/>
          <w:kern w:val="0"/>
          <w:sz w:val="32"/>
          <w:szCs w:val="32"/>
          <w:lang w:eastAsia="zh-CN"/>
          <w14:textFill>
            <w14:solidFill>
              <w14:schemeClr w14:val="tx1"/>
            </w14:solidFill>
          </w14:textFill>
        </w:rPr>
        <w:t>洪洞县城乡居民最低生活保障中心、洪洞县社会福利服务中心、洪洞县殡葬服务管理中心、洪洞县婚姻登记中心、洪洞县敬老院、洪洞县未成年保护和救助中心</w:t>
      </w:r>
      <w:r>
        <w:rPr>
          <w:rFonts w:hint="eastAsia" w:ascii="仿宋_GB2312" w:hAnsi="楷体" w:eastAsia="仿宋_GB2312"/>
          <w:kern w:val="0"/>
          <w:sz w:val="32"/>
          <w:szCs w:val="32"/>
          <w:lang w:eastAsia="zh-CN"/>
        </w:rPr>
        <w:t>。</w:t>
      </w:r>
    </w:p>
    <w:p>
      <w:pPr>
        <w:keepNext w:val="0"/>
        <w:keepLines w:val="0"/>
        <w:pageBreakBefore w:val="0"/>
        <w:widowControl w:val="0"/>
        <w:suppressLineNumbers w:val="0"/>
        <w:kinsoku/>
        <w:wordWrap/>
        <w:overflowPunct/>
        <w:topLinePunct w:val="0"/>
        <w:bidi w:val="0"/>
        <w:spacing w:beforeAutospacing="0" w:after="0" w:afterAutospacing="0" w:line="560" w:lineRule="exact"/>
        <w:ind w:left="0" w:right="0" w:firstLine="640" w:firstLineChars="200"/>
        <w:jc w:val="both"/>
        <w:rPr>
          <w:rFonts w:hint="eastAsia" w:ascii="仿宋_GB2312" w:hAnsi="仿宋" w:eastAsia="仿宋_GB2312" w:cs="仿宋_GB2312"/>
          <w:color w:val="000000" w:themeColor="text1"/>
          <w:sz w:val="32"/>
          <w:szCs w:val="32"/>
          <w:lang w:val="en-US"/>
          <w14:textFill>
            <w14:solidFill>
              <w14:schemeClr w14:val="tx1"/>
            </w14:solidFill>
          </w14:textFill>
        </w:rPr>
      </w:pPr>
      <w:r>
        <w:rPr>
          <w:rFonts w:hint="eastAsia" w:ascii="仿宋_GB2312" w:hAnsi="仿宋" w:eastAsia="仿宋_GB2312" w:cs="仿宋_GB2312"/>
          <w:color w:val="000000" w:themeColor="text1"/>
          <w:kern w:val="2"/>
          <w:sz w:val="32"/>
          <w:szCs w:val="32"/>
          <w:lang w:val="en-US" w:eastAsia="zh-CN" w:bidi="ar"/>
          <w14:textFill>
            <w14:solidFill>
              <w14:schemeClr w14:val="tx1"/>
            </w14:solidFill>
          </w14:textFill>
        </w:rPr>
        <w:t>洪洞县民政局是县政府主管社会行政事务的主要职能部门之一，全局共有干部职工89人，其中公务员10人，工勤2人。</w:t>
      </w:r>
    </w:p>
    <w:p>
      <w:pPr>
        <w:keepNext w:val="0"/>
        <w:keepLines w:val="0"/>
        <w:pageBreakBefore w:val="0"/>
        <w:widowControl/>
        <w:kinsoku/>
        <w:wordWrap/>
        <w:overflowPunct/>
        <w:topLinePunct w:val="0"/>
        <w:bidi w:val="0"/>
        <w:spacing w:line="560" w:lineRule="exact"/>
        <w:ind w:left="0" w:firstLine="640" w:firstLineChars="200"/>
        <w:rPr>
          <w:rFonts w:ascii="仿宋_GB2312" w:hAnsi="楷体" w:eastAsia="仿宋_GB2312"/>
          <w:color w:val="FF0000"/>
          <w:kern w:val="0"/>
          <w:sz w:val="32"/>
          <w:szCs w:val="32"/>
        </w:rPr>
      </w:pPr>
      <w:r>
        <w:rPr>
          <w:rFonts w:ascii="仿宋_GB2312" w:hAnsi="楷体" w:eastAsia="仿宋_GB2312"/>
          <w:color w:val="000000" w:themeColor="text1"/>
          <w:kern w:val="0"/>
          <w:sz w:val="32"/>
          <w:szCs w:val="32"/>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．从预算单位构成看，纳入本部门</w:t>
      </w:r>
      <w:r>
        <w:rPr>
          <w:rFonts w:ascii="仿宋_GB2312" w:hAnsi="楷体" w:eastAsia="仿宋_GB2312"/>
          <w:color w:val="000000" w:themeColor="text1"/>
          <w:kern w:val="0"/>
          <w:sz w:val="32"/>
          <w:szCs w:val="32"/>
          <w14:textFill>
            <w14:solidFill>
              <w14:schemeClr w14:val="tx1"/>
            </w14:solidFill>
          </w14:textFill>
        </w:rPr>
        <w:t>202</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年部门汇总预算编制范围的预算单位共计</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个，具体包括：</w:t>
      </w:r>
      <w:r>
        <w:rPr>
          <w:rFonts w:hint="eastAsia" w:ascii="仿宋_GB2312" w:hAnsi="楷体" w:eastAsia="仿宋_GB2312"/>
          <w:color w:val="000000" w:themeColor="text1"/>
          <w:kern w:val="0"/>
          <w:sz w:val="32"/>
          <w:szCs w:val="32"/>
          <w:lang w:eastAsia="zh-CN"/>
          <w14:textFill>
            <w14:solidFill>
              <w14:schemeClr w14:val="tx1"/>
            </w14:solidFill>
          </w14:textFill>
        </w:rPr>
        <w:t>洪洞县民政局</w:t>
      </w:r>
      <w:r>
        <w:rPr>
          <w:rFonts w:hint="eastAsia" w:ascii="仿宋_GB2312" w:hAnsi="楷体" w:eastAsia="仿宋_GB2312"/>
          <w:color w:val="000000" w:themeColor="text1"/>
          <w:kern w:val="0"/>
          <w:sz w:val="32"/>
          <w:szCs w:val="32"/>
          <w14:textFill>
            <w14:solidFill>
              <w14:schemeClr w14:val="tx1"/>
            </w14:solidFill>
          </w14:textFill>
        </w:rPr>
        <w:t>部门本级</w:t>
      </w:r>
      <w:r>
        <w:rPr>
          <w:rFonts w:hint="eastAsia" w:ascii="仿宋_GB2312" w:hAnsi="楷体" w:eastAsia="仿宋_GB2312"/>
          <w:color w:val="000000" w:themeColor="text1"/>
          <w:kern w:val="0"/>
          <w:sz w:val="32"/>
          <w:szCs w:val="32"/>
          <w:lang w:eastAsia="zh-CN"/>
          <w14:textFill>
            <w14:solidFill>
              <w14:schemeClr w14:val="tx1"/>
            </w14:solidFill>
          </w14:textFill>
        </w:rPr>
        <w:t>、洪洞县未成年保护和救助中心</w:t>
      </w:r>
      <w:r>
        <w:rPr>
          <w:rFonts w:hint="eastAsia" w:ascii="仿宋_GB2312" w:hAnsi="楷体" w:eastAsia="仿宋_GB2312"/>
          <w:color w:val="000000" w:themeColor="text1"/>
          <w:kern w:val="0"/>
          <w:sz w:val="32"/>
          <w:szCs w:val="32"/>
          <w14:textFill>
            <w14:solidFill>
              <w14:schemeClr w14:val="tx1"/>
            </w14:solidFill>
          </w14:textFill>
        </w:rPr>
        <w:t>。</w:t>
      </w:r>
    </w:p>
    <w:p>
      <w:pPr>
        <w:keepNext w:val="0"/>
        <w:keepLines w:val="0"/>
        <w:pageBreakBefore w:val="0"/>
        <w:widowControl/>
        <w:kinsoku/>
        <w:wordWrap/>
        <w:overflowPunct/>
        <w:topLinePunct w:val="0"/>
        <w:bidi w:val="0"/>
        <w:spacing w:line="560" w:lineRule="exact"/>
        <w:ind w:left="0" w:firstLine="640" w:firstLineChars="200"/>
        <w:rPr>
          <w:rFonts w:hint="eastAsia" w:ascii="黑体" w:hAnsi="Times New Roman" w:eastAsia="黑体" w:cs="FZHTK--GBK1-0"/>
          <w:kern w:val="0"/>
          <w:sz w:val="32"/>
          <w:szCs w:val="32"/>
        </w:rPr>
      </w:pPr>
      <w:r>
        <w:rPr>
          <w:rFonts w:hint="eastAsia" w:ascii="黑体" w:hAnsi="Times New Roman" w:eastAsia="黑体" w:cs="FZHTK--GBK1-0"/>
          <w:color w:val="000000" w:themeColor="text1"/>
          <w:kern w:val="0"/>
          <w:sz w:val="32"/>
          <w:szCs w:val="32"/>
          <w14:textFill>
            <w14:solidFill>
              <w14:schemeClr w14:val="tx1"/>
            </w14:solidFill>
          </w14:textFill>
        </w:rPr>
        <w:t>三、</w:t>
      </w:r>
      <w:r>
        <w:rPr>
          <w:rFonts w:hint="eastAsia" w:ascii="黑体" w:hAnsi="Times New Roman" w:eastAsia="黑体"/>
          <w:color w:val="000000" w:themeColor="text1"/>
          <w:kern w:val="0"/>
          <w:sz w:val="32"/>
          <w:szCs w:val="32"/>
          <w14:textFill>
            <w14:solidFill>
              <w14:schemeClr w14:val="tx1"/>
            </w14:solidFill>
          </w14:textFill>
        </w:rPr>
        <w:t>202</w:t>
      </w:r>
      <w:r>
        <w:rPr>
          <w:rFonts w:hint="eastAsia" w:ascii="黑体" w:hAnsi="Times New Roman" w:eastAsia="黑体"/>
          <w:color w:val="000000" w:themeColor="text1"/>
          <w:kern w:val="0"/>
          <w:sz w:val="32"/>
          <w:szCs w:val="32"/>
          <w:lang w:val="en-US" w:eastAsia="zh-CN"/>
          <w14:textFill>
            <w14:solidFill>
              <w14:schemeClr w14:val="tx1"/>
            </w14:solidFill>
          </w14:textFill>
        </w:rPr>
        <w:t>2</w:t>
      </w:r>
      <w:r>
        <w:rPr>
          <w:rFonts w:hint="eastAsia" w:ascii="黑体" w:hAnsi="Times New Roman" w:eastAsia="黑体"/>
          <w:color w:val="000000" w:themeColor="text1"/>
          <w:kern w:val="0"/>
          <w:sz w:val="32"/>
          <w:szCs w:val="32"/>
          <w14:textFill>
            <w14:solidFill>
              <w14:schemeClr w14:val="tx1"/>
            </w14:solidFill>
          </w14:textFill>
        </w:rPr>
        <w:t xml:space="preserve"> </w:t>
      </w:r>
      <w:r>
        <w:rPr>
          <w:rFonts w:hint="eastAsia" w:ascii="黑体" w:hAnsi="Times New Roman" w:eastAsia="黑体" w:cs="FZHTK--GBK1-0"/>
          <w:color w:val="000000" w:themeColor="text1"/>
          <w:kern w:val="0"/>
          <w:sz w:val="32"/>
          <w:szCs w:val="32"/>
          <w14:textFill>
            <w14:solidFill>
              <w14:schemeClr w14:val="tx1"/>
            </w14:solidFill>
          </w14:textFill>
        </w:rPr>
        <w:t>年部门主要工作任务及目标</w:t>
      </w:r>
    </w:p>
    <w:p>
      <w:pPr>
        <w:keepNext w:val="0"/>
        <w:keepLines w:val="0"/>
        <w:pageBreakBefore w:val="0"/>
        <w:widowControl w:val="0"/>
        <w:numPr>
          <w:ilvl w:val="0"/>
          <w:numId w:val="0"/>
        </w:numPr>
        <w:suppressLineNumbers w:val="0"/>
        <w:kinsoku/>
        <w:wordWrap/>
        <w:overflowPunct/>
        <w:topLinePunct w:val="0"/>
        <w:bidi w:val="0"/>
        <w:snapToGrid/>
        <w:spacing w:before="0" w:beforeAutospacing="0" w:after="0" w:afterAutospacing="0" w:line="560" w:lineRule="exact"/>
        <w:ind w:left="630" w:leftChars="0" w:right="0" w:rightChars="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（一）社会救助水平持续提高</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kern w:val="2"/>
          <w:sz w:val="32"/>
          <w:szCs w:val="32"/>
          <w:shd w:val="clear" w:fill="FFFFFF"/>
          <w:lang w:val="en-US" w:eastAsia="zh-CN" w:bidi="ar"/>
        </w:rPr>
      </w:pPr>
      <w:r>
        <w:rPr>
          <w:rFonts w:hint="eastAsia" w:ascii="仿宋_GB2312" w:hAnsi="仿宋_GB2312" w:eastAsia="仿宋_GB2312" w:cs="仿宋_GB2312"/>
          <w:b/>
          <w:bCs/>
          <w:kern w:val="2"/>
          <w:sz w:val="32"/>
          <w:szCs w:val="32"/>
          <w:lang w:val="en-US" w:eastAsia="zh-CN" w:bidi="ar"/>
        </w:rPr>
        <w:t>一是</w:t>
      </w:r>
      <w:r>
        <w:rPr>
          <w:rFonts w:hint="eastAsia" w:ascii="仿宋_GB2312" w:hAnsi="仿宋_GB2312" w:eastAsia="仿宋_GB2312" w:cs="仿宋_GB2312"/>
          <w:kern w:val="2"/>
          <w:sz w:val="32"/>
          <w:szCs w:val="32"/>
          <w:lang w:val="en-US" w:eastAsia="zh-CN" w:bidi="ar"/>
        </w:rPr>
        <w:t>继续提高城乡低保人员保障标准。</w:t>
      </w:r>
      <w:r>
        <w:rPr>
          <w:rFonts w:hint="eastAsia" w:ascii="仿宋_GB2312" w:hAnsi="仿宋_GB2312" w:eastAsia="仿宋_GB2312" w:cs="仿宋_GB2312"/>
          <w:b/>
          <w:bCs/>
          <w:kern w:val="2"/>
          <w:sz w:val="32"/>
          <w:szCs w:val="32"/>
          <w:lang w:val="en-US" w:eastAsia="zh-CN" w:bidi="ar"/>
        </w:rPr>
        <w:t>二是</w:t>
      </w:r>
      <w:r>
        <w:rPr>
          <w:rFonts w:hint="eastAsia" w:ascii="仿宋_GB2312" w:hAnsi="仿宋_GB2312" w:eastAsia="仿宋_GB2312" w:cs="仿宋_GB2312"/>
          <w:kern w:val="2"/>
          <w:sz w:val="32"/>
          <w:szCs w:val="32"/>
          <w:lang w:val="en-US" w:eastAsia="zh-CN" w:bidi="ar"/>
        </w:rPr>
        <w:t>继续提高特困人员救助供养标准。</w:t>
      </w:r>
      <w:r>
        <w:rPr>
          <w:rFonts w:hint="eastAsia" w:ascii="仿宋_GB2312" w:hAnsi="仿宋_GB2312" w:eastAsia="仿宋_GB2312" w:cs="仿宋_GB2312"/>
          <w:b/>
          <w:bCs/>
          <w:kern w:val="2"/>
          <w:sz w:val="32"/>
          <w:szCs w:val="32"/>
          <w:lang w:val="en-US" w:eastAsia="zh-CN" w:bidi="ar"/>
        </w:rPr>
        <w:t>三是</w:t>
      </w:r>
      <w:r>
        <w:rPr>
          <w:rFonts w:hint="eastAsia" w:ascii="仿宋_GB2312" w:hAnsi="仿宋_GB2312" w:eastAsia="仿宋_GB2312" w:cs="仿宋_GB2312"/>
          <w:kern w:val="2"/>
          <w:sz w:val="32"/>
          <w:szCs w:val="32"/>
          <w:lang w:val="en-US" w:eastAsia="zh-CN" w:bidi="ar"/>
        </w:rPr>
        <w:t>加强和改进临时救助工作，落实“分级审批”政策，解决困难群众“救、急、难”问题。</w:t>
      </w:r>
      <w:r>
        <w:rPr>
          <w:rFonts w:hint="eastAsia" w:ascii="仿宋_GB2312" w:hAnsi="仿宋_GB2312" w:eastAsia="仿宋_GB2312" w:cs="仿宋_GB2312"/>
          <w:b/>
          <w:bCs/>
          <w:kern w:val="2"/>
          <w:sz w:val="32"/>
          <w:szCs w:val="32"/>
          <w:lang w:val="en-US" w:eastAsia="zh-CN" w:bidi="ar"/>
        </w:rPr>
        <w:t>四是</w:t>
      </w:r>
      <w:r>
        <w:rPr>
          <w:rFonts w:hint="eastAsia" w:ascii="仿宋_GB2312" w:hAnsi="仿宋_GB2312" w:eastAsia="仿宋_GB2312" w:cs="仿宋_GB2312"/>
          <w:kern w:val="2"/>
          <w:sz w:val="32"/>
          <w:szCs w:val="32"/>
          <w:lang w:val="en-US" w:eastAsia="zh-CN" w:bidi="ar"/>
        </w:rPr>
        <w:t>提升儿童福利服务水平。</w:t>
      </w:r>
      <w:r>
        <w:rPr>
          <w:rFonts w:hint="eastAsia" w:ascii="仿宋_GB2312" w:hAnsi="仿宋_GB2312" w:eastAsia="仿宋_GB2312" w:cs="仿宋_GB2312"/>
          <w:b/>
          <w:bCs/>
          <w:kern w:val="2"/>
          <w:sz w:val="32"/>
          <w:szCs w:val="32"/>
          <w:lang w:val="en-US" w:eastAsia="zh-CN" w:bidi="ar"/>
        </w:rPr>
        <w:t>五是</w:t>
      </w:r>
      <w:r>
        <w:rPr>
          <w:rFonts w:hint="eastAsia" w:ascii="仿宋_GB2312" w:hAnsi="仿宋_GB2312" w:eastAsia="仿宋_GB2312" w:cs="仿宋_GB2312"/>
          <w:kern w:val="2"/>
          <w:sz w:val="32"/>
          <w:szCs w:val="32"/>
          <w:lang w:val="en-US" w:eastAsia="zh-CN" w:bidi="ar"/>
        </w:rPr>
        <w:t>加强宣传确保受助人群及时了解相关政策，全面落实残疾人两项补贴。</w:t>
      </w:r>
      <w:r>
        <w:rPr>
          <w:rFonts w:hint="eastAsia" w:ascii="仿宋_GB2312" w:hAnsi="仿宋_GB2312" w:eastAsia="仿宋_GB2312" w:cs="仿宋_GB2312"/>
          <w:b/>
          <w:bCs/>
          <w:kern w:val="2"/>
          <w:sz w:val="32"/>
          <w:szCs w:val="32"/>
          <w:lang w:val="en-US" w:eastAsia="zh-CN" w:bidi="ar"/>
        </w:rPr>
        <w:t>六</w:t>
      </w:r>
      <w:r>
        <w:rPr>
          <w:rFonts w:hint="eastAsia" w:ascii="仿宋_GB2312" w:hAnsi="仿宋_GB2312" w:eastAsia="仿宋_GB2312" w:cs="仿宋_GB2312"/>
          <w:b/>
          <w:bCs/>
          <w:kern w:val="2"/>
          <w:sz w:val="32"/>
          <w:szCs w:val="32"/>
          <w:shd w:val="clear" w:fill="FFFFFF"/>
          <w:lang w:val="en-US" w:eastAsia="zh-CN" w:bidi="ar"/>
        </w:rPr>
        <w:t>是</w:t>
      </w:r>
      <w:r>
        <w:rPr>
          <w:rFonts w:hint="eastAsia" w:ascii="仿宋_GB2312" w:hAnsi="仿宋_GB2312" w:eastAsia="仿宋_GB2312" w:cs="仿宋_GB2312"/>
          <w:bCs/>
          <w:kern w:val="2"/>
          <w:sz w:val="32"/>
          <w:szCs w:val="32"/>
          <w:lang w:val="en-US" w:eastAsia="zh-CN" w:bidi="ar"/>
        </w:rPr>
        <w:t>强化生活无着的流浪乞讨人员救助管理服务。</w:t>
      </w:r>
      <w:r>
        <w:rPr>
          <w:rFonts w:hint="eastAsia" w:ascii="仿宋_GB2312" w:hAnsi="仿宋_GB2312" w:eastAsia="仿宋_GB2312" w:cs="仿宋_GB2312"/>
          <w:b/>
          <w:bCs/>
          <w:kern w:val="2"/>
          <w:sz w:val="32"/>
          <w:szCs w:val="32"/>
          <w:lang w:val="en-US" w:eastAsia="zh-CN" w:bidi="ar"/>
        </w:rPr>
        <w:t>七是</w:t>
      </w:r>
      <w:r>
        <w:rPr>
          <w:rFonts w:hint="eastAsia" w:ascii="仿宋_GB2312" w:hAnsi="仿宋_GB2312" w:eastAsia="仿宋_GB2312" w:cs="仿宋_GB2312"/>
          <w:kern w:val="2"/>
          <w:sz w:val="32"/>
          <w:szCs w:val="32"/>
          <w:lang w:val="en-US" w:eastAsia="zh-CN" w:bidi="ar"/>
        </w:rPr>
        <w:t>根据全省部署，做好城乡低保、特困人员全面复核工作，加强工作统筹、突出重点、保证质量、精心组织、集中人力、切实抓好落实。</w:t>
      </w:r>
      <w:r>
        <w:rPr>
          <w:rFonts w:hint="eastAsia" w:ascii="仿宋_GB2312" w:hAnsi="仿宋_GB2312" w:eastAsia="仿宋_GB2312" w:cs="仿宋_GB2312"/>
          <w:b/>
          <w:bCs/>
          <w:kern w:val="2"/>
          <w:sz w:val="32"/>
          <w:szCs w:val="32"/>
          <w:lang w:val="en-US" w:eastAsia="zh-CN" w:bidi="ar"/>
        </w:rPr>
        <w:t>八是</w:t>
      </w:r>
      <w:r>
        <w:rPr>
          <w:rFonts w:hint="eastAsia" w:ascii="仿宋_GB2312" w:hAnsi="仿宋_GB2312" w:eastAsia="仿宋_GB2312" w:cs="仿宋_GB2312"/>
          <w:kern w:val="2"/>
          <w:sz w:val="32"/>
          <w:szCs w:val="32"/>
          <w:lang w:val="en-US" w:eastAsia="zh-CN" w:bidi="ar"/>
        </w:rPr>
        <w:t>开展了</w:t>
      </w:r>
      <w:r>
        <w:rPr>
          <w:rFonts w:hint="eastAsia" w:ascii="仿宋_GB2312" w:hAnsi="仿宋_GB2312" w:eastAsia="仿宋_GB2312" w:cs="仿宋_GB2312"/>
          <w:kern w:val="2"/>
          <w:sz w:val="32"/>
          <w:szCs w:val="32"/>
          <w:shd w:val="clear" w:fill="FFFFFF"/>
          <w:lang w:val="en-US" w:eastAsia="zh-CN" w:bidi="ar"/>
        </w:rPr>
        <w:t>漠视侵害群众利益问题专项整治工作。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（二）社会事务管理实现新进展</w:t>
      </w:r>
    </w:p>
    <w:p>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rPr>
          <w:rFonts w:hint="eastAsia" w:ascii="仿宋_GB2312" w:hAnsi="仿宋_GB2312" w:eastAsia="仿宋_GB2312" w:cs="仿宋_GB2312"/>
          <w:b/>
          <w:bCs/>
          <w:kern w:val="2"/>
          <w:sz w:val="32"/>
          <w:szCs w:val="32"/>
          <w:lang w:val="en-US" w:eastAsia="zh-CN" w:bidi="ar"/>
        </w:rPr>
      </w:pPr>
      <w:r>
        <w:rPr>
          <w:rFonts w:hint="eastAsia" w:ascii="仿宋_GB2312" w:hAnsi="仿宋_GB2312" w:eastAsia="仿宋_GB2312" w:cs="仿宋_GB2312"/>
          <w:kern w:val="2"/>
          <w:sz w:val="32"/>
          <w:szCs w:val="32"/>
          <w:lang w:val="en-US" w:eastAsia="zh-CN" w:bidi="ar"/>
        </w:rPr>
        <w:t>不断强化专项社会事务管理,规范实施公共服务保障。</w:t>
      </w:r>
      <w:r>
        <w:rPr>
          <w:rFonts w:hint="eastAsia" w:ascii="仿宋_GB2312" w:hAnsi="仿宋_GB2312" w:eastAsia="仿宋_GB2312" w:cs="仿宋_GB2312"/>
          <w:b/>
          <w:bCs/>
          <w:kern w:val="2"/>
          <w:sz w:val="32"/>
          <w:szCs w:val="32"/>
          <w:lang w:val="en-US" w:eastAsia="zh-CN" w:bidi="ar"/>
        </w:rPr>
        <w:t>一是</w:t>
      </w:r>
      <w:r>
        <w:rPr>
          <w:rFonts w:hint="eastAsia" w:ascii="仿宋_GB2312" w:hAnsi="仿宋_GB2312" w:eastAsia="仿宋_GB2312" w:cs="仿宋_GB2312"/>
          <w:kern w:val="2"/>
          <w:sz w:val="32"/>
          <w:szCs w:val="32"/>
          <w:lang w:val="en-US" w:eastAsia="zh-CN" w:bidi="ar"/>
        </w:rPr>
        <w:t>多措并举大力推进养老服务体系建设。二</w:t>
      </w:r>
      <w:r>
        <w:rPr>
          <w:rFonts w:hint="eastAsia" w:ascii="仿宋_GB2312" w:hAnsi="仿宋_GB2312" w:eastAsia="仿宋_GB2312" w:cs="仿宋_GB2312"/>
          <w:b/>
          <w:bCs/>
          <w:kern w:val="2"/>
          <w:sz w:val="32"/>
          <w:szCs w:val="32"/>
          <w:lang w:val="en-US" w:eastAsia="zh-CN" w:bidi="ar"/>
        </w:rPr>
        <w:t>是</w:t>
      </w:r>
      <w:r>
        <w:rPr>
          <w:rFonts w:hint="eastAsia" w:ascii="仿宋_GB2312" w:hAnsi="仿宋_GB2312" w:eastAsia="仿宋_GB2312" w:cs="仿宋_GB2312"/>
          <w:kern w:val="2"/>
          <w:sz w:val="32"/>
          <w:szCs w:val="32"/>
          <w:lang w:val="en-US" w:eastAsia="zh-CN" w:bidi="ar"/>
        </w:rPr>
        <w:t>深化殡葬改革</w:t>
      </w:r>
      <w:r>
        <w:rPr>
          <w:rFonts w:hint="eastAsia" w:ascii="仿宋_GB2312" w:hAnsi="仿宋_GB2312" w:eastAsia="仿宋_GB2312" w:cs="仿宋_GB2312"/>
          <w:b/>
          <w:bCs/>
          <w:kern w:val="2"/>
          <w:sz w:val="32"/>
          <w:szCs w:val="32"/>
          <w:lang w:val="en-US" w:eastAsia="zh-CN" w:bidi="ar"/>
        </w:rPr>
        <w:t>。</w:t>
      </w:r>
      <w:r>
        <w:rPr>
          <w:rFonts w:hint="eastAsia" w:ascii="仿宋_GB2312" w:hAnsi="仿宋_GB2312" w:eastAsia="仿宋_GB2312" w:cs="仿宋_GB2312"/>
          <w:kern w:val="2"/>
          <w:sz w:val="32"/>
          <w:szCs w:val="32"/>
          <w:lang w:val="en-US" w:eastAsia="zh-CN" w:bidi="ar"/>
        </w:rPr>
        <w:t>三</w:t>
      </w:r>
      <w:r>
        <w:rPr>
          <w:rFonts w:hint="eastAsia" w:ascii="仿宋_GB2312" w:hAnsi="仿宋_GB2312" w:eastAsia="仿宋_GB2312" w:cs="仿宋_GB2312"/>
          <w:b/>
          <w:bCs/>
          <w:kern w:val="2"/>
          <w:sz w:val="32"/>
          <w:szCs w:val="32"/>
          <w:lang w:val="en-US" w:eastAsia="zh-CN" w:bidi="ar"/>
        </w:rPr>
        <w:t>是</w:t>
      </w:r>
      <w:r>
        <w:rPr>
          <w:rFonts w:hint="eastAsia" w:ascii="仿宋_GB2312" w:hAnsi="仿宋_GB2312" w:eastAsia="仿宋_GB2312" w:cs="仿宋_GB2312"/>
          <w:kern w:val="2"/>
          <w:sz w:val="32"/>
          <w:szCs w:val="32"/>
          <w:lang w:val="en-US" w:eastAsia="zh-CN" w:bidi="ar"/>
        </w:rPr>
        <w:t>规范婚姻登记服务</w:t>
      </w:r>
      <w:r>
        <w:rPr>
          <w:rFonts w:hint="eastAsia" w:ascii="仿宋_GB2312" w:hAnsi="仿宋_GB2312" w:eastAsia="仿宋_GB2312" w:cs="仿宋_GB2312"/>
          <w:b/>
          <w:bCs/>
          <w:kern w:val="2"/>
          <w:sz w:val="32"/>
          <w:szCs w:val="32"/>
          <w:lang w:val="en-US" w:eastAsia="zh-CN" w:bidi="ar"/>
        </w:rPr>
        <w:t>。</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（三）社会治理工作再上新台阶</w:t>
      </w:r>
    </w:p>
    <w:p>
      <w:pPr>
        <w:keepNext w:val="0"/>
        <w:keepLines w:val="0"/>
        <w:pageBreakBefore w:val="0"/>
        <w:widowControl w:val="0"/>
        <w:kinsoku/>
        <w:wordWrap/>
        <w:overflowPunct/>
        <w:topLinePunct w:val="0"/>
        <w:autoSpaceDE/>
        <w:autoSpaceDN/>
        <w:bidi w:val="0"/>
        <w:adjustRightInd w:val="0"/>
        <w:snapToGrid w:val="0"/>
        <w:spacing w:line="560" w:lineRule="exact"/>
        <w:ind w:left="0" w:firstLine="643"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val="0"/>
          <w:kern w:val="2"/>
          <w:sz w:val="32"/>
          <w:szCs w:val="32"/>
          <w:lang w:val="en-US" w:eastAsia="zh-CN" w:bidi="ar"/>
        </w:rPr>
        <w:t>一是</w:t>
      </w:r>
      <w:r>
        <w:rPr>
          <w:rFonts w:hint="eastAsia" w:ascii="仿宋_GB2312" w:hAnsi="仿宋_GB2312" w:eastAsia="仿宋_GB2312" w:cs="仿宋_GB2312"/>
          <w:bCs/>
          <w:kern w:val="2"/>
          <w:sz w:val="32"/>
          <w:szCs w:val="32"/>
          <w:lang w:val="en-US" w:eastAsia="zh-CN" w:bidi="ar"/>
        </w:rPr>
        <w:t>持续推进城乡基层政权建设。</w:t>
      </w:r>
      <w:r>
        <w:rPr>
          <w:rFonts w:hint="eastAsia" w:ascii="仿宋_GB2312" w:hAnsi="仿宋_GB2312" w:eastAsia="仿宋_GB2312" w:cs="仿宋_GB2312"/>
          <w:kern w:val="2"/>
          <w:sz w:val="32"/>
          <w:szCs w:val="32"/>
          <w:lang w:val="en-US" w:eastAsia="zh-CN" w:bidi="ar"/>
        </w:rPr>
        <w:t>二</w:t>
      </w:r>
      <w:r>
        <w:rPr>
          <w:rFonts w:hint="eastAsia" w:ascii="仿宋_GB2312" w:hAnsi="仿宋_GB2312" w:eastAsia="仿宋_GB2312" w:cs="仿宋_GB2312"/>
          <w:b/>
          <w:bCs w:val="0"/>
          <w:kern w:val="2"/>
          <w:sz w:val="32"/>
          <w:szCs w:val="32"/>
          <w:lang w:val="en-US" w:eastAsia="zh-CN" w:bidi="ar"/>
        </w:rPr>
        <w:t>是</w:t>
      </w:r>
      <w:r>
        <w:rPr>
          <w:rFonts w:hint="eastAsia" w:ascii="仿宋_GB2312" w:hAnsi="仿宋_GB2312" w:eastAsia="仿宋_GB2312" w:cs="仿宋_GB2312"/>
          <w:bCs/>
          <w:kern w:val="2"/>
          <w:sz w:val="32"/>
          <w:szCs w:val="32"/>
          <w:lang w:val="en-US" w:eastAsia="zh-CN" w:bidi="ar"/>
        </w:rPr>
        <w:t>提升城乡社区治理和服务水平。</w:t>
      </w:r>
      <w:r>
        <w:rPr>
          <w:rFonts w:hint="eastAsia" w:ascii="仿宋_GB2312" w:hAnsi="仿宋_GB2312" w:eastAsia="仿宋_GB2312" w:cs="仿宋_GB2312"/>
          <w:b/>
          <w:bCs/>
          <w:kern w:val="2"/>
          <w:sz w:val="32"/>
          <w:szCs w:val="32"/>
          <w:lang w:val="en-US" w:eastAsia="zh-CN" w:bidi="ar"/>
        </w:rPr>
        <w:t>三是</w:t>
      </w:r>
      <w:r>
        <w:rPr>
          <w:rFonts w:hint="eastAsia" w:ascii="仿宋_GB2312" w:hAnsi="仿宋_GB2312" w:eastAsia="仿宋_GB2312" w:cs="仿宋_GB2312"/>
          <w:kern w:val="2"/>
          <w:sz w:val="32"/>
          <w:szCs w:val="32"/>
          <w:lang w:val="en-US" w:eastAsia="zh-CN" w:bidi="ar"/>
        </w:rPr>
        <w:t>继续深化监督管理制度改革，有力引导社会组织健康有序发展。</w:t>
      </w:r>
      <w:r>
        <w:rPr>
          <w:rFonts w:hint="eastAsia" w:ascii="仿宋_GB2312" w:hAnsi="仿宋_GB2312" w:eastAsia="仿宋_GB2312" w:cs="仿宋_GB2312"/>
          <w:b/>
          <w:bCs/>
          <w:kern w:val="2"/>
          <w:sz w:val="32"/>
          <w:szCs w:val="32"/>
          <w:lang w:val="en-US" w:eastAsia="zh-CN" w:bidi="ar"/>
        </w:rPr>
        <w:t>四是</w:t>
      </w:r>
      <w:r>
        <w:rPr>
          <w:rFonts w:hint="eastAsia" w:ascii="仿宋_GB2312" w:hAnsi="仿宋_GB2312" w:eastAsia="仿宋_GB2312" w:cs="仿宋_GB2312"/>
          <w:kern w:val="2"/>
          <w:sz w:val="32"/>
          <w:szCs w:val="32"/>
          <w:lang w:val="en-US" w:eastAsia="zh-CN" w:bidi="ar"/>
        </w:rPr>
        <w:t>大力推进志愿服务制度化。</w:t>
      </w:r>
      <w:r>
        <w:rPr>
          <w:rFonts w:hint="eastAsia" w:ascii="仿宋_GB2312" w:hAnsi="仿宋_GB2312" w:eastAsia="仿宋_GB2312" w:cs="仿宋_GB2312"/>
          <w:b/>
          <w:bCs/>
          <w:kern w:val="2"/>
          <w:sz w:val="32"/>
          <w:szCs w:val="32"/>
          <w:lang w:val="en-US" w:eastAsia="zh-CN" w:bidi="ar"/>
        </w:rPr>
        <w:t>五是</w:t>
      </w:r>
      <w:r>
        <w:rPr>
          <w:rFonts w:hint="eastAsia" w:ascii="仿宋_GB2312" w:hAnsi="仿宋_GB2312" w:eastAsia="仿宋_GB2312" w:cs="仿宋_GB2312"/>
          <w:kern w:val="2"/>
          <w:sz w:val="32"/>
          <w:szCs w:val="32"/>
          <w:lang w:val="en-US" w:eastAsia="zh-CN" w:bidi="ar"/>
        </w:rPr>
        <w:t>行政区划调整工作稳步进行。</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一、洪洞县民政局2022年预算收支总表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二、洪洞县民政局2022年预算收入总表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三、洪洞县民政局2022预算支出总表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四、洪洞县民政局2022年财政拨款收支总表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五、洪洞县民政局2022年一般公共预算支出预算表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六、洪洞县民政局2022年一般公共预算安排基本支出分经济科目表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七、洪洞县民政局2022年政府性基金预算收入预算表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八、洪洞县民政局2022年政府性基金预算支出预算表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九、洪洞县民政局2022年政府采购支出预算表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洪洞县民政局2022年</w:t>
      </w:r>
      <w:r>
        <w:rPr>
          <w:rFonts w:hint="eastAsia" w:ascii="仿宋_GB2312" w:eastAsia="仿宋_GB2312"/>
          <w:sz w:val="32"/>
          <w:szCs w:val="32"/>
        </w:rPr>
        <w:t>政府购买服务预算明细表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洪洞县民政局2022年机关运行经费预算财政拨款情况统计表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十二、洪洞县民政局2022年“三公”经费预算表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洪洞县民政局</w:t>
      </w:r>
      <w:r>
        <w:rPr>
          <w:rFonts w:hint="eastAsia" w:ascii="仿宋_GB2312" w:eastAsia="仿宋_GB2312"/>
          <w:sz w:val="32"/>
          <w:szCs w:val="32"/>
        </w:rPr>
        <w:t>2022年国有资本经营预算收支预算表</w:t>
      </w:r>
    </w:p>
    <w:p>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洪洞县民政局</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2428.0353</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28.90</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10855.3428</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auto"/>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10710.5041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2428.0341</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29.32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0000FF"/>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lang w:val="en-US" w:eastAsia="zh-CN"/>
        </w:rPr>
        <w:t>10646.5567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2433.6667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29.63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．城乡社区（类）支出</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无变化</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left="0" w:firstLine="640" w:firstLineChars="200"/>
        <w:textAlignment w:val="auto"/>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63.9474</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2.6326</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3.95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val="en-US" w:eastAsia="zh-CN"/>
        </w:rPr>
        <w:t>4</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893.9658</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53.2742</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5.62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9936.2095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2600.9795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35.46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10710.5041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98.90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1.10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893.9658</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8.25</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9936.2095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91.75</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auto"/>
          <w:kern w:val="0"/>
          <w:sz w:val="32"/>
          <w:szCs w:val="32"/>
          <w:lang w:eastAsia="zh-CN"/>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2428.0353</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28.90</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10710.5041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2392.4741</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28.76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auto"/>
          <w:kern w:val="0"/>
          <w:sz w:val="32"/>
          <w:szCs w:val="32"/>
        </w:rPr>
        <w:t>主要原因</w:t>
      </w:r>
      <w:r>
        <w:rPr>
          <w:rFonts w:hint="eastAsia" w:ascii="仿宋_GB2312" w:hAnsi="楷体" w:eastAsia="仿宋_GB2312"/>
          <w:b w:val="0"/>
          <w:bCs w:val="0"/>
          <w:color w:val="auto"/>
          <w:kern w:val="0"/>
          <w:sz w:val="32"/>
          <w:szCs w:val="32"/>
          <w:lang w:eastAsia="zh-CN"/>
        </w:rPr>
        <w:t>为：困难群众救助补助项目、城乡特困资金(农村税费等)县级配套资金、临时救济金(县级配套资金)上级补助资金增加。</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893.9658</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828.4662</w:t>
      </w:r>
      <w:r>
        <w:rPr>
          <w:rFonts w:hint="eastAsia" w:ascii="仿宋_GB2312" w:hAnsi="楷体" w:eastAsia="仿宋_GB2312"/>
          <w:kern w:val="0"/>
          <w:sz w:val="32"/>
          <w:szCs w:val="32"/>
        </w:rPr>
        <w:t>万元。主要包括：基本工资、津贴补贴、奖金、绩效工资、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离休费、退休费、生活补助</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65.4996</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val="en-US" w:eastAsia="zh-CN"/>
        </w:rPr>
        <w:t>咨询费、水费、</w:t>
      </w:r>
      <w:r>
        <w:rPr>
          <w:rFonts w:hint="eastAsia" w:ascii="仿宋_GB2312" w:hAnsi="楷体" w:eastAsia="仿宋_GB2312"/>
          <w:kern w:val="0"/>
          <w:sz w:val="32"/>
          <w:szCs w:val="32"/>
        </w:rPr>
        <w:t>电费、邮电费、</w:t>
      </w:r>
      <w:r>
        <w:rPr>
          <w:rFonts w:hint="eastAsia" w:ascii="仿宋_GB2312" w:hAnsi="楷体" w:eastAsia="仿宋_GB2312"/>
          <w:kern w:val="0"/>
          <w:sz w:val="32"/>
          <w:szCs w:val="32"/>
          <w:lang w:val="en-US" w:eastAsia="zh-CN"/>
        </w:rPr>
        <w:t>委托业务费</w:t>
      </w:r>
      <w:r>
        <w:rPr>
          <w:rFonts w:hint="eastAsia" w:ascii="仿宋_GB2312" w:hAnsi="楷体" w:eastAsia="仿宋_GB2312"/>
          <w:kern w:val="0"/>
          <w:sz w:val="32"/>
          <w:szCs w:val="32"/>
        </w:rPr>
        <w:t>、工会经费、福利费、</w:t>
      </w:r>
      <w:r>
        <w:rPr>
          <w:rFonts w:hint="eastAsia" w:ascii="仿宋_GB2312" w:hAnsi="楷体" w:eastAsia="仿宋_GB2312"/>
          <w:kern w:val="0"/>
          <w:sz w:val="32"/>
          <w:szCs w:val="32"/>
          <w:lang w:val="en-US" w:eastAsia="zh-CN"/>
        </w:rPr>
        <w:t>公务用车运行维护费、</w:t>
      </w:r>
      <w:r>
        <w:rPr>
          <w:rFonts w:hint="eastAsia" w:ascii="仿宋_GB2312" w:hAnsi="楷体" w:eastAsia="仿宋_GB2312"/>
          <w:kern w:val="0"/>
          <w:sz w:val="32"/>
          <w:szCs w:val="32"/>
        </w:rPr>
        <w:t>其他交通费用</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其他商品和服务支出</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119.6712</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与上年相比增加（减少）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万元，增长（减少）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洪洞县民政局</w:t>
      </w:r>
      <w:r>
        <w:rPr>
          <w:rFonts w:ascii="仿宋_GB2312" w:hAnsi="楷体" w:eastAsia="仿宋_GB2312"/>
          <w:kern w:val="0"/>
          <w:sz w:val="32"/>
          <w:szCs w:val="32"/>
        </w:rPr>
        <w:t>202</w:t>
      </w:r>
      <w:r>
        <w:rPr>
          <w:rFonts w:hint="eastAsia" w:ascii="仿宋_GB2312" w:hAnsi="楷体" w:eastAsia="仿宋_GB2312"/>
          <w:kern w:val="0"/>
          <w:sz w:val="32"/>
          <w:szCs w:val="32"/>
        </w:rPr>
        <w:t>1年度一般公共预算拨款安排的“三公”经费预算支出中，因公出国（境）费支出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66.3371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2.4129</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降低</w:t>
      </w:r>
      <w:r>
        <w:rPr>
          <w:rFonts w:hint="eastAsia" w:ascii="仿宋_GB2312" w:hAnsi="楷体" w:eastAsia="仿宋_GB2312"/>
          <w:kern w:val="0"/>
          <w:sz w:val="32"/>
          <w:szCs w:val="32"/>
          <w:u w:val="single"/>
          <w:lang w:val="en-US" w:eastAsia="zh-CN"/>
        </w:rPr>
        <w:t>3.64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000000" w:themeColor="text1"/>
          <w:kern w:val="0"/>
          <w:sz w:val="32"/>
          <w:szCs w:val="32"/>
          <w14:textFill>
            <w14:solidFill>
              <w14:schemeClr w14:val="tx1"/>
            </w14:solidFill>
          </w14:textFill>
        </w:rPr>
        <w:t>主要原因是</w:t>
      </w:r>
      <w:r>
        <w:rPr>
          <w:rFonts w:hint="eastAsia" w:ascii="仿宋_GB2312" w:hAnsi="楷体" w:eastAsia="仿宋_GB2312"/>
          <w:color w:val="000000" w:themeColor="text1"/>
          <w:kern w:val="0"/>
          <w:sz w:val="32"/>
          <w:szCs w:val="32"/>
          <w:lang w:eastAsia="zh-CN"/>
          <w14:textFill>
            <w14:solidFill>
              <w14:schemeClr w14:val="tx1"/>
            </w14:solidFill>
          </w14:textFill>
        </w:rPr>
        <w:t>调出</w:t>
      </w:r>
      <w:r>
        <w:rPr>
          <w:rFonts w:hint="eastAsia" w:ascii="仿宋_GB2312" w:hAnsi="楷体" w:eastAsia="仿宋_GB2312"/>
          <w:color w:val="000000" w:themeColor="text1"/>
          <w:kern w:val="0"/>
          <w:sz w:val="32"/>
          <w:szCs w:val="32"/>
          <w:lang w:val="en-US" w:eastAsia="zh-CN"/>
          <w14:textFill>
            <w14:solidFill>
              <w14:schemeClr w14:val="tx1"/>
            </w14:solidFill>
          </w14:textFill>
        </w:rPr>
        <w:t>3人、退休2人</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15.3400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4.84</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10.5</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pacing w:line="560" w:lineRule="exact"/>
        <w:ind w:left="0" w:firstLine="640" w:firstLineChars="200"/>
        <w:jc w:val="left"/>
        <w:rPr>
          <w:rFonts w:hint="default" w:ascii="仿宋_GB2312" w:hAnsi="楷体" w:eastAsia="仿宋_GB2312"/>
          <w:kern w:val="0"/>
          <w:sz w:val="32"/>
          <w:szCs w:val="32"/>
          <w:lang w:val="en-US" w:eastAsia="zh-CN"/>
        </w:rPr>
      </w:pPr>
      <w:r>
        <w:rPr>
          <w:rFonts w:hint="eastAsia" w:ascii="仿宋_GB2312" w:hAnsi="楷体" w:eastAsia="仿宋_GB2312"/>
          <w:color w:val="000000" w:themeColor="text1"/>
          <w:kern w:val="0"/>
          <w:sz w:val="32"/>
          <w:szCs w:val="32"/>
          <w:lang w:val="en-US" w:eastAsia="zh-CN"/>
          <w14:textFill>
            <w14:solidFill>
              <w14:schemeClr w14:val="tx1"/>
            </w14:solidFill>
          </w14:textFill>
        </w:rPr>
        <w:t>1、车辆情况：</w:t>
      </w:r>
      <w:r>
        <w:rPr>
          <w:rFonts w:hint="eastAsia" w:ascii="仿宋_GB2312" w:hAnsi="楷体" w:eastAsia="仿宋_GB2312"/>
          <w:color w:val="000000" w:themeColor="text1"/>
          <w:kern w:val="0"/>
          <w:sz w:val="32"/>
          <w:szCs w:val="32"/>
          <w14:textFill>
            <w14:solidFill>
              <w14:schemeClr w14:val="tx1"/>
            </w14:solidFill>
          </w14:textFill>
        </w:rPr>
        <w:t>本部门共有车辆</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辆，其中，一般公务用车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辆、执法执勤用车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辆、特种专业技术用车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辆、其他用车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辆等。</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2、房屋情况：我单位办公用房建筑面积</w:t>
      </w:r>
      <w:r>
        <w:rPr>
          <w:rFonts w:hint="eastAsia" w:ascii="仿宋_GB2312" w:hAnsi="楷体" w:eastAsia="仿宋_GB2312"/>
          <w:kern w:val="0"/>
          <w:sz w:val="32"/>
          <w:szCs w:val="32"/>
          <w:u w:val="single"/>
          <w:lang w:val="en-US" w:eastAsia="zh-CN"/>
        </w:rPr>
        <w:t>10127</w:t>
      </w:r>
      <w:r>
        <w:rPr>
          <w:rFonts w:hint="eastAsia" w:ascii="仿宋_GB2312" w:hAnsi="楷体" w:eastAsia="仿宋_GB2312"/>
          <w:kern w:val="0"/>
          <w:sz w:val="32"/>
          <w:szCs w:val="32"/>
          <w:lang w:val="en-US" w:eastAsia="zh-CN"/>
        </w:rPr>
        <w:t>平方米。</w:t>
      </w:r>
    </w:p>
    <w:p>
      <w:pPr>
        <w:keepNext w:val="0"/>
        <w:keepLines w:val="0"/>
        <w:pageBreakBefore w:val="0"/>
        <w:widowControl w:val="0"/>
        <w:numPr>
          <w:ilvl w:val="0"/>
          <w:numId w:val="1"/>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hAnsi="Calibri" w:eastAsia="仿宋_GB2312" w:cs="仿宋_GB2312"/>
          <w:color w:val="000000"/>
          <w:kern w:val="2"/>
          <w:sz w:val="32"/>
          <w:szCs w:val="32"/>
          <w:u w:val="none"/>
          <w:lang w:val="en-US" w:eastAsia="zh-CN" w:bidi="ar"/>
        </w:rPr>
      </w:pPr>
      <w:r>
        <w:rPr>
          <w:rFonts w:hint="eastAsia" w:ascii="仿宋_GB2312" w:hAnsi="Calibri" w:eastAsia="仿宋_GB2312" w:cs="仿宋_GB2312"/>
          <w:color w:val="000000"/>
          <w:kern w:val="2"/>
          <w:sz w:val="32"/>
          <w:szCs w:val="32"/>
          <w:u w:val="none"/>
          <w:lang w:val="en-US" w:eastAsia="zh-CN" w:bidi="ar"/>
        </w:rPr>
        <w:t>其他国有资产占有使用情况</w:t>
      </w:r>
      <w:r>
        <w:rPr>
          <w:rFonts w:hint="eastAsia" w:ascii="仿宋_GB2312" w:eastAsia="仿宋_GB2312" w:cs="仿宋_GB2312"/>
          <w:color w:val="000000"/>
          <w:kern w:val="2"/>
          <w:sz w:val="32"/>
          <w:szCs w:val="32"/>
          <w:u w:val="none"/>
          <w:lang w:val="en-US" w:eastAsia="zh-CN" w:bidi="ar"/>
        </w:rPr>
        <w:t>：</w:t>
      </w:r>
    </w:p>
    <w:p>
      <w:pPr>
        <w:keepNext w:val="0"/>
        <w:keepLines w:val="0"/>
        <w:pageBreakBefore w:val="0"/>
        <w:widowControl w:val="0"/>
        <w:numPr>
          <w:numId w:val="0"/>
        </w:numPr>
        <w:suppressLineNumbers w:val="0"/>
        <w:kinsoku/>
        <w:wordWrap/>
        <w:overflowPunct/>
        <w:topLinePunct w:val="0"/>
        <w:bidi w:val="0"/>
        <w:snapToGrid/>
        <w:spacing w:beforeAutospacing="0" w:after="0" w:afterAutospacing="0" w:line="560" w:lineRule="exact"/>
        <w:ind w:leftChars="200" w:right="0" w:rightChars="0" w:firstLine="640" w:firstLineChars="200"/>
        <w:jc w:val="both"/>
        <w:textAlignment w:val="auto"/>
        <w:rPr>
          <w:rFonts w:hint="eastAsia" w:ascii="仿宋_GB2312" w:hAnsi="Calibri" w:eastAsia="仿宋_GB2312" w:cs="仿宋_GB2312"/>
          <w:color w:val="000000"/>
          <w:kern w:val="2"/>
          <w:sz w:val="32"/>
          <w:szCs w:val="32"/>
          <w:lang w:val="en-US" w:eastAsia="zh-CN" w:bidi="ar"/>
        </w:rPr>
      </w:pPr>
      <w:r>
        <w:rPr>
          <w:rFonts w:hint="eastAsia" w:ascii="仿宋_GB2312" w:eastAsia="仿宋_GB2312" w:cs="仿宋_GB2312"/>
          <w:color w:val="000000"/>
          <w:kern w:val="2"/>
          <w:sz w:val="32"/>
          <w:szCs w:val="32"/>
          <w:u w:val="none"/>
          <w:lang w:val="en-US" w:eastAsia="zh-CN" w:bidi="ar"/>
        </w:rPr>
        <w:t>本单位现有价值50万元以上通用设备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万元；单位价值100万元以上专用设备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22</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；本部门单位整体支出（</w:t>
      </w:r>
      <w:r>
        <w:rPr>
          <w:rFonts w:hint="eastAsia" w:ascii="仿宋_GB2312" w:hAnsi="楷体" w:eastAsia="仿宋_GB2312" w:cs="Times New Roman"/>
          <w:sz w:val="32"/>
          <w:szCs w:val="32"/>
          <w:lang w:val="en-US" w:eastAsia="zh-CN" w:bidi="ar"/>
        </w:rPr>
        <w:sym w:font="Wingdings 2" w:char="0052"/>
      </w:r>
      <w:r>
        <w:rPr>
          <w:rFonts w:hint="eastAsia" w:ascii="仿宋_GB2312" w:hAnsi="楷体" w:eastAsia="仿宋_GB2312" w:cs="Times New Roman"/>
          <w:sz w:val="32"/>
          <w:szCs w:val="32"/>
          <w:lang w:val="en-US" w:eastAsia="zh-CN" w:bidi="ar"/>
        </w:rPr>
        <w:t>纳入、□未纳入）绩效目标管理，涉及财政性资金</w:t>
      </w:r>
      <w:r>
        <w:rPr>
          <w:rFonts w:hint="eastAsia" w:ascii="仿宋_GB2312" w:hAnsi="楷体" w:eastAsia="仿宋_GB2312"/>
          <w:kern w:val="0"/>
          <w:sz w:val="32"/>
          <w:szCs w:val="32"/>
          <w:u w:val="single"/>
          <w:lang w:val="en-US" w:eastAsia="zh-CN"/>
        </w:rPr>
        <w:t>10830.1753</w:t>
      </w:r>
      <w:r>
        <w:rPr>
          <w:rFonts w:hint="eastAsia" w:ascii="仿宋_GB2312" w:hAnsi="楷体" w:eastAsia="仿宋_GB2312" w:cs="Times New Roman"/>
          <w:sz w:val="32"/>
          <w:szCs w:val="32"/>
          <w:lang w:val="en-US" w:eastAsia="zh-CN" w:bidi="ar"/>
        </w:rPr>
        <w:t>万元。</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bookmarkStart w:id="0" w:name="_GoBack"/>
      <w:bookmarkEnd w:id="0"/>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left="0" w:firstLine="576" w:firstLineChars="200"/>
        <w:textAlignment w:val="auto"/>
        <w:rPr>
          <w:rFonts w:hint="eastAsia" w:ascii="仿宋_GB2312" w:hAnsi="黑体" w:eastAsia="仿宋_GB2312"/>
          <w:b/>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无其他说明情况。</w:t>
      </w:r>
    </w:p>
    <w:p>
      <w:pPr>
        <w:keepNext w:val="0"/>
        <w:keepLines w:val="0"/>
        <w:pageBreakBefore w:val="0"/>
        <w:widowControl/>
        <w:kinsoku/>
        <w:wordWrap/>
        <w:overflowPunct/>
        <w:topLinePunct w:val="0"/>
        <w:bidi w:val="0"/>
        <w:snapToGrid/>
        <w:spacing w:line="560" w:lineRule="exact"/>
        <w:jc w:val="center"/>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10"/>
        <w:keepNext w:val="0"/>
        <w:keepLines w:val="0"/>
        <w:pageBreakBefore w:val="0"/>
        <w:kinsoku/>
        <w:wordWrap/>
        <w:overflowPunct/>
        <w:topLinePunct w:val="0"/>
        <w:bidi w:val="0"/>
        <w:snapToGrid/>
        <w:spacing w:line="560" w:lineRule="exact"/>
        <w:ind w:left="0" w:firstLine="640" w:firstLineChars="20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pPr>
        <w:keepNext w:val="0"/>
        <w:keepLines w:val="0"/>
        <w:pageBreakBefore w:val="0"/>
        <w:kinsoku/>
        <w:wordWrap/>
        <w:overflowPunct/>
        <w:topLinePunct w:val="0"/>
        <w:bidi w:val="0"/>
        <w:snapToGrid/>
        <w:spacing w:line="560" w:lineRule="exact"/>
        <w:ind w:left="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960" w:firstLineChars="300"/>
        <w:jc w:val="center"/>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val="en-US" w:eastAsia="zh-CN"/>
        </w:rPr>
        <w:t xml:space="preserve">                          </w:t>
      </w:r>
      <w:r>
        <w:rPr>
          <w:rFonts w:hint="eastAsia" w:ascii="仿宋_GB2312" w:hAnsi="仿宋" w:eastAsia="仿宋_GB2312"/>
          <w:kern w:val="0"/>
          <w:sz w:val="32"/>
          <w:szCs w:val="32"/>
          <w:lang w:eastAsia="zh-CN"/>
        </w:rPr>
        <w:t>洪洞县民政局</w:t>
      </w:r>
    </w:p>
    <w:p>
      <w:pPr>
        <w:keepNext w:val="0"/>
        <w:keepLines w:val="0"/>
        <w:pageBreakBefore w:val="0"/>
        <w:widowControl/>
        <w:kinsoku/>
        <w:wordWrap/>
        <w:overflowPunct/>
        <w:topLinePunct w:val="0"/>
        <w:bidi w:val="0"/>
        <w:snapToGrid/>
        <w:spacing w:line="560" w:lineRule="exact"/>
        <w:ind w:left="0" w:firstLine="640" w:firstLineChars="200"/>
        <w:jc w:val="center"/>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 xml:space="preserve">                             2022年2月20日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fixed"/>
    <w:sig w:usb0="00000001" w:usb1="080E0000" w:usb2="00000000" w:usb3="00000000" w:csb0="00040000" w:csb1="00000000"/>
  </w:font>
  <w:font w:name="@楷体">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137" w:h="777" w:hRule="exact" w:wrap="around" w:vAnchor="text" w:hAnchor="page" w:x="9140" w:y="-189"/>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053CCA"/>
    <w:rsid w:val="00505279"/>
    <w:rsid w:val="00850528"/>
    <w:rsid w:val="012C5161"/>
    <w:rsid w:val="01BF5575"/>
    <w:rsid w:val="02306473"/>
    <w:rsid w:val="02C46BBB"/>
    <w:rsid w:val="0376554C"/>
    <w:rsid w:val="03B24C65"/>
    <w:rsid w:val="051C40FC"/>
    <w:rsid w:val="06E5034F"/>
    <w:rsid w:val="081163FE"/>
    <w:rsid w:val="08E17C4D"/>
    <w:rsid w:val="0A3463D4"/>
    <w:rsid w:val="0A403874"/>
    <w:rsid w:val="0AC41E4E"/>
    <w:rsid w:val="0C087B18"/>
    <w:rsid w:val="0CCC4FEA"/>
    <w:rsid w:val="0D4B23B2"/>
    <w:rsid w:val="0DAA46EA"/>
    <w:rsid w:val="0EE505E5"/>
    <w:rsid w:val="0FDD306A"/>
    <w:rsid w:val="10CB06DF"/>
    <w:rsid w:val="119A3908"/>
    <w:rsid w:val="119D3DBA"/>
    <w:rsid w:val="124F5C25"/>
    <w:rsid w:val="1299424E"/>
    <w:rsid w:val="12BD50B9"/>
    <w:rsid w:val="1385172F"/>
    <w:rsid w:val="13B642FE"/>
    <w:rsid w:val="16C43FDE"/>
    <w:rsid w:val="16E84A41"/>
    <w:rsid w:val="177B5642"/>
    <w:rsid w:val="19781E82"/>
    <w:rsid w:val="19E0285F"/>
    <w:rsid w:val="1A0758B3"/>
    <w:rsid w:val="1B563666"/>
    <w:rsid w:val="1CEC0D90"/>
    <w:rsid w:val="1CFE11EF"/>
    <w:rsid w:val="1D525D0C"/>
    <w:rsid w:val="1DB91145"/>
    <w:rsid w:val="1E236A34"/>
    <w:rsid w:val="1E5A23F7"/>
    <w:rsid w:val="1FFC1339"/>
    <w:rsid w:val="21C07FD5"/>
    <w:rsid w:val="21FC167D"/>
    <w:rsid w:val="222D7A47"/>
    <w:rsid w:val="23057C40"/>
    <w:rsid w:val="25A46830"/>
    <w:rsid w:val="26695200"/>
    <w:rsid w:val="26F411A8"/>
    <w:rsid w:val="28284C85"/>
    <w:rsid w:val="28917FFF"/>
    <w:rsid w:val="299A59FA"/>
    <w:rsid w:val="29CB1FF6"/>
    <w:rsid w:val="2B0C25FA"/>
    <w:rsid w:val="2B116592"/>
    <w:rsid w:val="2BBA7D56"/>
    <w:rsid w:val="2C057779"/>
    <w:rsid w:val="2DF75468"/>
    <w:rsid w:val="2F283EAA"/>
    <w:rsid w:val="2F5D5C7D"/>
    <w:rsid w:val="2FBE4A05"/>
    <w:rsid w:val="2FC42A39"/>
    <w:rsid w:val="30281C88"/>
    <w:rsid w:val="30555456"/>
    <w:rsid w:val="34F66FDC"/>
    <w:rsid w:val="34FA6230"/>
    <w:rsid w:val="35CB4299"/>
    <w:rsid w:val="364F7F6E"/>
    <w:rsid w:val="39BA7DF4"/>
    <w:rsid w:val="39F7485A"/>
    <w:rsid w:val="3A064DE8"/>
    <w:rsid w:val="3AC76C6D"/>
    <w:rsid w:val="3AF94EFA"/>
    <w:rsid w:val="3B5A2049"/>
    <w:rsid w:val="3B8073BE"/>
    <w:rsid w:val="3BB43360"/>
    <w:rsid w:val="3BC767F9"/>
    <w:rsid w:val="3CF11D7F"/>
    <w:rsid w:val="3DE64CB7"/>
    <w:rsid w:val="3EF02D22"/>
    <w:rsid w:val="3F615B53"/>
    <w:rsid w:val="40590DAE"/>
    <w:rsid w:val="415A3663"/>
    <w:rsid w:val="42EF06BB"/>
    <w:rsid w:val="43797731"/>
    <w:rsid w:val="45AA2264"/>
    <w:rsid w:val="45B26A3D"/>
    <w:rsid w:val="47026CF3"/>
    <w:rsid w:val="478F0BB2"/>
    <w:rsid w:val="48B501DB"/>
    <w:rsid w:val="48EB47DC"/>
    <w:rsid w:val="4A080F4F"/>
    <w:rsid w:val="4B2E419E"/>
    <w:rsid w:val="4CE64806"/>
    <w:rsid w:val="4F86603C"/>
    <w:rsid w:val="4FE92CD6"/>
    <w:rsid w:val="50AD223C"/>
    <w:rsid w:val="51C25640"/>
    <w:rsid w:val="53907E88"/>
    <w:rsid w:val="542B571F"/>
    <w:rsid w:val="55CF7D0B"/>
    <w:rsid w:val="56A140A7"/>
    <w:rsid w:val="56D650CA"/>
    <w:rsid w:val="576A0FE7"/>
    <w:rsid w:val="585519C2"/>
    <w:rsid w:val="5975743C"/>
    <w:rsid w:val="59AF0BA0"/>
    <w:rsid w:val="59B50D17"/>
    <w:rsid w:val="59D50E67"/>
    <w:rsid w:val="5A736072"/>
    <w:rsid w:val="5AD52888"/>
    <w:rsid w:val="5ADC2801"/>
    <w:rsid w:val="5B3F4415"/>
    <w:rsid w:val="5D177188"/>
    <w:rsid w:val="5D5F25A4"/>
    <w:rsid w:val="5F5D7ECE"/>
    <w:rsid w:val="5F824661"/>
    <w:rsid w:val="5FCD42C2"/>
    <w:rsid w:val="5FFC08B7"/>
    <w:rsid w:val="60412C6C"/>
    <w:rsid w:val="60430294"/>
    <w:rsid w:val="62CA180C"/>
    <w:rsid w:val="63500C1D"/>
    <w:rsid w:val="638E4425"/>
    <w:rsid w:val="6503290B"/>
    <w:rsid w:val="657D5FF6"/>
    <w:rsid w:val="66805D9E"/>
    <w:rsid w:val="67A52932"/>
    <w:rsid w:val="67B11F87"/>
    <w:rsid w:val="695B56F5"/>
    <w:rsid w:val="69684081"/>
    <w:rsid w:val="69A12092"/>
    <w:rsid w:val="6A6E4160"/>
    <w:rsid w:val="6C141D72"/>
    <w:rsid w:val="6C7472C0"/>
    <w:rsid w:val="6D362E7C"/>
    <w:rsid w:val="6E3A07E7"/>
    <w:rsid w:val="6F094457"/>
    <w:rsid w:val="6F7D52E0"/>
    <w:rsid w:val="71C21276"/>
    <w:rsid w:val="724D22CE"/>
    <w:rsid w:val="72D07765"/>
    <w:rsid w:val="73047AD9"/>
    <w:rsid w:val="73467A28"/>
    <w:rsid w:val="736C3B18"/>
    <w:rsid w:val="763F4F79"/>
    <w:rsid w:val="76F123A0"/>
    <w:rsid w:val="7781211E"/>
    <w:rsid w:val="77B752FD"/>
    <w:rsid w:val="791365FE"/>
    <w:rsid w:val="7B731A25"/>
    <w:rsid w:val="7C790E68"/>
    <w:rsid w:val="7CA63C18"/>
    <w:rsid w:val="7DA27C62"/>
    <w:rsid w:val="7F3C74F8"/>
    <w:rsid w:val="7F4E6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rFonts w:ascii="Times New Roman" w:hAnsi="Times New Roman" w:eastAsia="宋体" w:cs="Times New Roman"/>
      <w:b/>
      <w:bCs/>
      <w:sz w:val="28"/>
      <w:szCs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eastAsia="仿宋_GB2312" w:cs="Times New Roman"/>
      <w:kern w:val="1"/>
      <w:sz w:val="32"/>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spacing w:beforeAutospacing="1" w:afterAutospacing="1"/>
      <w:jc w:val="left"/>
    </w:pPr>
    <w:rPr>
      <w:kern w:val="0"/>
      <w:sz w:val="24"/>
    </w:rPr>
  </w:style>
  <w:style w:type="character" w:styleId="9">
    <w:name w:val="page number"/>
    <w:basedOn w:val="8"/>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文铭电脑</cp:lastModifiedBy>
  <dcterms:modified xsi:type="dcterms:W3CDTF">2022-02-22T04:13:51Z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939B5C51BFC54209A732D806537EEFF2</vt:lpwstr>
  </property>
</Properties>
</file>