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洪洞县退役军人事务局</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Dotum" w:eastAsia="方正小标宋简体" w:cs="Dotum"/>
          <w:b w:val="0"/>
          <w:bCs w:val="0"/>
          <w:kern w:val="0"/>
          <w:sz w:val="44"/>
          <w:szCs w:val="44"/>
        </w:rPr>
      </w:pPr>
    </w:p>
    <w:p>
      <w:pPr>
        <w:keepNext w:val="0"/>
        <w:keepLines w:val="0"/>
        <w:pageBreakBefore w:val="0"/>
        <w:widowControl/>
        <w:kinsoku/>
        <w:wordWrap/>
        <w:overflowPunct/>
        <w:topLinePunct w:val="0"/>
        <w:bidi w:val="0"/>
        <w:snapToGrid/>
        <w:spacing w:line="560" w:lineRule="exact"/>
        <w:ind w:firstLine="1100" w:firstLineChars="250"/>
        <w:jc w:val="center"/>
        <w:textAlignment w:val="auto"/>
        <w:rPr>
          <w:rFonts w:hint="eastAsia" w:ascii="方正小标宋简体" w:hAnsi="华文中宋" w:eastAsia="方正小标宋简体"/>
          <w:b w:val="0"/>
          <w:bCs w:val="0"/>
          <w:kern w:val="0"/>
          <w:sz w:val="44"/>
          <w:szCs w:val="44"/>
        </w:rPr>
      </w:pPr>
      <w:r>
        <w:rPr>
          <w:rFonts w:hint="eastAsia" w:ascii="方正小标宋简体" w:hAnsi="Dotum" w:eastAsia="方正小标宋简体" w:cs="Dotum"/>
          <w:b w:val="0"/>
          <w:bCs w:val="0"/>
          <w:kern w:val="0"/>
          <w:sz w:val="44"/>
          <w:szCs w:val="44"/>
        </w:rPr>
        <w:t>目</w:t>
      </w:r>
      <w:r>
        <w:rPr>
          <w:rFonts w:hint="eastAsia" w:ascii="方正小标宋简体" w:hAnsi="Dotum" w:eastAsia="方正小标宋简体" w:cs="Dotum"/>
          <w:b w:val="0"/>
          <w:bCs w:val="0"/>
          <w:kern w:val="0"/>
          <w:sz w:val="44"/>
          <w:szCs w:val="44"/>
          <w:lang w:val="en-US" w:eastAsia="zh-CN"/>
        </w:rPr>
        <w:t xml:space="preserve"> </w:t>
      </w:r>
      <w:r>
        <w:rPr>
          <w:rFonts w:hint="eastAsia" w:ascii="方正小标宋简体" w:hAnsi="Dotum" w:eastAsia="方正小标宋简体" w:cs="Dotum"/>
          <w:b w:val="0"/>
          <w:bCs w:val="0"/>
          <w:kern w:val="0"/>
          <w:sz w:val="44"/>
          <w:szCs w:val="44"/>
        </w:rPr>
        <w:t>录</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 xml:space="preserve">第一部分  部门概况   </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一、本部门主要职能  </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二、部门机构设置及预算单位构成情况</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三、</w:t>
      </w:r>
      <w:r>
        <w:rPr>
          <w:rFonts w:ascii="仿宋_GB2312" w:hAnsi="楷体" w:eastAsia="仿宋_GB2312"/>
          <w:kern w:val="0"/>
          <w:sz w:val="32"/>
          <w:szCs w:val="32"/>
        </w:rPr>
        <w:t>202</w:t>
      </w:r>
      <w:r>
        <w:rPr>
          <w:rFonts w:hint="eastAsia" w:ascii="仿宋_GB2312" w:hAnsi="楷体" w:eastAsia="仿宋_GB2312"/>
          <w:kern w:val="0"/>
          <w:sz w:val="32"/>
          <w:szCs w:val="32"/>
          <w:lang w:val="en-US" w:eastAsia="zh-CN"/>
        </w:rPr>
        <w:t>2</w:t>
      </w:r>
      <w:r>
        <w:rPr>
          <w:rFonts w:hint="eastAsia" w:ascii="仿宋_GB2312" w:hAnsi="楷体" w:eastAsia="仿宋_GB2312"/>
          <w:kern w:val="0"/>
          <w:sz w:val="32"/>
          <w:szCs w:val="32"/>
        </w:rPr>
        <w:t>年度部门主要工作任务及目标</w:t>
      </w:r>
    </w:p>
    <w:p>
      <w:pPr>
        <w:keepNext w:val="0"/>
        <w:keepLines w:val="0"/>
        <w:pageBreakBefore w:val="0"/>
        <w:widowControl/>
        <w:kinsoku/>
        <w:wordWrap/>
        <w:overflowPunct/>
        <w:topLinePunct w:val="0"/>
        <w:bidi w:val="0"/>
        <w:snapToGrid/>
        <w:spacing w:line="560" w:lineRule="exact"/>
        <w:ind w:firstLine="640"/>
        <w:textAlignment w:val="auto"/>
        <w:rPr>
          <w:rFonts w:hint="eastAsia" w:ascii="黑体" w:hAnsi="Times New Roman" w:eastAsia="黑体"/>
          <w:kern w:val="0"/>
          <w:sz w:val="32"/>
          <w:szCs w:val="32"/>
        </w:rPr>
      </w:pPr>
      <w:r>
        <w:rPr>
          <w:rFonts w:hint="eastAsia" w:ascii="黑体" w:hAnsi="Times New Roman" w:eastAsia="黑体"/>
          <w:kern w:val="0"/>
          <w:sz w:val="32"/>
          <w:szCs w:val="32"/>
        </w:rPr>
        <w:t>第二部分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年度部门预算报表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一、洪洞县退役军人事务局2022年预算收支总表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二、洪洞县退役军人事务局2022年预算收入总表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三、洪洞县退役军人事务局2022预算支出总表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四、洪洞县退役军人事务局2022年财政拨款收支总表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五、洪洞县退役军人事务局2022年一般公共预算支出预算表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六、洪洞县退役军人事务局2022年一般公共预算安排基本支出分经济科目表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七、洪洞县退役军人事务局2022年政府性基金预算收入预算表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八、洪洞县退役军人事务局2022年政府性基金预算支出预算表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九、洪洞县退役军人事务局2022年政府采购支出预算表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十、洪洞县退役军人事务局2022年机关运行经费预算财政拨款情况统计表</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十一、洪洞县退役军人事务局2022年“三公”经费预算表</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十二、洪洞县退役军人事务局2022年财政项目支出绩效目标表</w:t>
      </w:r>
    </w:p>
    <w:p>
      <w:pPr>
        <w:pStyle w:val="9"/>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十三、洪洞县退役军人事务局2022年</w:t>
      </w:r>
      <w:r>
        <w:rPr>
          <w:rFonts w:hint="eastAsia" w:ascii="仿宋_GB2312" w:eastAsia="仿宋_GB2312"/>
          <w:sz w:val="32"/>
          <w:szCs w:val="32"/>
        </w:rPr>
        <w:t>政府购买服务预算明细表</w:t>
      </w:r>
    </w:p>
    <w:p>
      <w:pPr>
        <w:pStyle w:val="9"/>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hAnsi="Times New Roman" w:eastAsia="仿宋_GB2312" w:cs="仿宋_GB2312"/>
          <w:kern w:val="2"/>
          <w:sz w:val="32"/>
          <w:szCs w:val="32"/>
          <w:lang w:val="en-US" w:eastAsia="zh-CN" w:bidi="ar"/>
        </w:rPr>
        <w:t>洪洞县退役军人事务局</w:t>
      </w:r>
      <w:r>
        <w:rPr>
          <w:rFonts w:hint="eastAsia" w:ascii="仿宋_GB2312" w:eastAsia="仿宋_GB2312"/>
          <w:sz w:val="32"/>
          <w:szCs w:val="32"/>
        </w:rPr>
        <w:t>2022年国有资本经营预算收支预算表</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第三部分  202</w:t>
      </w:r>
      <w:r>
        <w:rPr>
          <w:rFonts w:hint="eastAsia" w:ascii="黑体" w:hAnsi="Times New Roman" w:eastAsia="黑体"/>
          <w:kern w:val="0"/>
          <w:sz w:val="32"/>
          <w:szCs w:val="32"/>
          <w:lang w:val="en-US" w:eastAsia="zh-CN"/>
        </w:rPr>
        <w:t>2</w:t>
      </w:r>
      <w:r>
        <w:rPr>
          <w:rFonts w:hint="eastAsia" w:ascii="黑体" w:hAnsi="Times New Roman" w:eastAsia="黑体"/>
          <w:kern w:val="0"/>
          <w:sz w:val="32"/>
          <w:szCs w:val="32"/>
        </w:rPr>
        <w:t>年度部门预算情况说明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黑体" w:hAnsi="Times New Roman" w:eastAsia="黑体"/>
          <w:kern w:val="0"/>
          <w:sz w:val="32"/>
          <w:szCs w:val="32"/>
        </w:rPr>
      </w:pPr>
      <w:r>
        <w:rPr>
          <w:rFonts w:hint="eastAsia" w:ascii="黑体" w:hAnsi="Times New Roman" w:eastAsia="黑体"/>
          <w:kern w:val="0"/>
          <w:sz w:val="32"/>
          <w:szCs w:val="32"/>
        </w:rPr>
        <w:t>第四部分  名词解释</w:t>
      </w:r>
    </w:p>
    <w:p>
      <w:pPr>
        <w:keepNext w:val="0"/>
        <w:keepLines w:val="0"/>
        <w:pageBreakBefore w:val="0"/>
        <w:kinsoku/>
        <w:wordWrap/>
        <w:overflowPunct/>
        <w:topLinePunct w:val="0"/>
        <w:bidi w:val="0"/>
        <w:snapToGrid/>
        <w:spacing w:line="560" w:lineRule="exact"/>
        <w:textAlignment w:val="auto"/>
        <w:rPr>
          <w:rFonts w:hint="eastAsia" w:ascii="黑体" w:hAnsi="Times New Roman" w:eastAsia="黑体"/>
          <w:kern w:val="0"/>
          <w:sz w:val="32"/>
          <w:szCs w:val="32"/>
        </w:rPr>
      </w:pPr>
      <w:r>
        <w:rPr>
          <w:rFonts w:hint="eastAsia" w:ascii="黑体" w:hAnsi="Times New Roman" w:eastAsia="黑体"/>
          <w:kern w:val="0"/>
          <w:sz w:val="32"/>
          <w:szCs w:val="32"/>
        </w:rPr>
        <w:br w:type="page"/>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洪洞县退役军人事务局</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楷体" w:eastAsia="方正小标宋简体"/>
          <w:kern w:val="0"/>
          <w:sz w:val="36"/>
          <w:szCs w:val="36"/>
        </w:rPr>
      </w:pPr>
    </w:p>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黑体" w:hAnsi="Times New Roman" w:eastAsia="黑体" w:cs="黑体"/>
          <w:kern w:val="2"/>
          <w:sz w:val="32"/>
          <w:szCs w:val="32"/>
          <w:lang w:val="en-US" w:eastAsia="zh-CN" w:bidi="ar"/>
        </w:rPr>
      </w:pPr>
      <w:r>
        <w:rPr>
          <w:rFonts w:hint="eastAsia" w:ascii="黑体" w:hAnsi="Times New Roman" w:eastAsia="黑体" w:cs="黑体"/>
          <w:kern w:val="2"/>
          <w:sz w:val="32"/>
          <w:szCs w:val="32"/>
          <w:lang w:val="en-US" w:eastAsia="zh-CN" w:bidi="ar"/>
        </w:rPr>
        <w:t>一、主要职能</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Cs/>
          <w:sz w:val="32"/>
          <w:szCs w:val="32"/>
          <w:lang w:val="en-US"/>
        </w:rPr>
      </w:pPr>
      <w:r>
        <w:rPr>
          <w:rFonts w:hint="eastAsia" w:ascii="仿宋_GB2312" w:hAnsi="仿宋_GB2312" w:eastAsia="仿宋_GB2312" w:cs="仿宋_GB2312"/>
          <w:kern w:val="2"/>
          <w:sz w:val="32"/>
          <w:szCs w:val="32"/>
          <w:lang w:val="en-US" w:eastAsia="zh-CN" w:bidi="ar"/>
        </w:rPr>
        <w:t>1、</w:t>
      </w:r>
      <w:r>
        <w:rPr>
          <w:rFonts w:hint="eastAsia" w:ascii="仿宋_GB2312" w:hAnsi="仿宋_GB2312" w:eastAsia="仿宋_GB2312" w:cs="仿宋_GB2312"/>
          <w:bCs/>
          <w:kern w:val="2"/>
          <w:sz w:val="32"/>
          <w:szCs w:val="32"/>
          <w:lang w:val="en-US" w:eastAsia="zh-CN" w:bidi="ar"/>
        </w:rPr>
        <w:t>组织实施退役军人思想政治、管理保障和安置优抚等工作的政策法规，拟订我县相关规范性文件并组织实施。</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Cs/>
          <w:sz w:val="32"/>
          <w:szCs w:val="32"/>
          <w:lang w:val="en-US"/>
        </w:rPr>
      </w:pPr>
      <w:r>
        <w:rPr>
          <w:rFonts w:hint="eastAsia" w:ascii="仿宋_GB2312" w:hAnsi="仿宋_GB2312" w:eastAsia="仿宋_GB2312" w:cs="仿宋_GB2312"/>
          <w:bCs/>
          <w:kern w:val="2"/>
          <w:sz w:val="32"/>
          <w:szCs w:val="32"/>
          <w:lang w:val="en-US" w:eastAsia="zh-CN" w:bidi="ar"/>
        </w:rPr>
        <w:t>2、负责军队转业干部、复员干部、离退休干部、退役士兵和无军籍退休退职职工的接收安置工作和自主择业、就业退役军人服务管理工作。</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Cs/>
          <w:sz w:val="32"/>
          <w:szCs w:val="32"/>
          <w:lang w:val="en-US"/>
        </w:rPr>
      </w:pPr>
      <w:r>
        <w:rPr>
          <w:rFonts w:hint="eastAsia" w:ascii="仿宋_GB2312" w:hAnsi="仿宋_GB2312" w:eastAsia="仿宋_GB2312" w:cs="仿宋_GB2312"/>
          <w:bCs/>
          <w:kern w:val="2"/>
          <w:sz w:val="32"/>
          <w:szCs w:val="32"/>
          <w:lang w:val="en-US" w:eastAsia="zh-CN" w:bidi="ar"/>
        </w:rPr>
        <w:t>3、组织指导退役军人教育培训工作，协调扶持退役军人和随军随调家属就业创业。</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Cs/>
          <w:sz w:val="32"/>
          <w:szCs w:val="32"/>
          <w:lang w:val="en-US"/>
        </w:rPr>
      </w:pPr>
      <w:r>
        <w:rPr>
          <w:rFonts w:hint="eastAsia" w:ascii="仿宋_GB2312" w:hAnsi="仿宋_GB2312" w:eastAsia="仿宋_GB2312" w:cs="仿宋_GB2312"/>
          <w:bCs/>
          <w:kern w:val="2"/>
          <w:sz w:val="32"/>
          <w:szCs w:val="32"/>
          <w:lang w:val="en-US" w:eastAsia="zh-CN" w:bidi="ar"/>
        </w:rPr>
        <w:t>4、组织实施国家关于退役军人特殊保障的相关政策，制定我县退役军人特殊保障的政策并组织实施。</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Cs/>
          <w:sz w:val="32"/>
          <w:szCs w:val="32"/>
          <w:lang w:val="en-US"/>
        </w:rPr>
      </w:pPr>
      <w:r>
        <w:rPr>
          <w:rFonts w:hint="eastAsia" w:ascii="仿宋_GB2312" w:hAnsi="仿宋_GB2312" w:eastAsia="仿宋_GB2312" w:cs="仿宋_GB2312"/>
          <w:bCs/>
          <w:kern w:val="2"/>
          <w:sz w:val="32"/>
          <w:szCs w:val="32"/>
          <w:lang w:val="en-US" w:eastAsia="zh-CN" w:bidi="ar"/>
        </w:rPr>
        <w:t>5、组织协调落实移交地方的离休退休军人、符合条件的其他退役军人和无军籍退休退职职工的住房保障工作，以及退役军人医疗保障、社会保险等待遇保障工作。</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Cs/>
          <w:sz w:val="32"/>
          <w:szCs w:val="32"/>
          <w:lang w:val="en-US"/>
        </w:rPr>
      </w:pPr>
      <w:r>
        <w:rPr>
          <w:rFonts w:hint="eastAsia" w:ascii="仿宋_GB2312" w:hAnsi="仿宋_GB2312" w:eastAsia="仿宋_GB2312" w:cs="仿宋_GB2312"/>
          <w:bCs/>
          <w:kern w:val="2"/>
          <w:sz w:val="32"/>
          <w:szCs w:val="32"/>
          <w:lang w:val="en-US" w:eastAsia="zh-CN" w:bidi="ar"/>
        </w:rPr>
        <w:t>6、组织开展伤病残退役军人服务管理和抚恤工作，组织落实有关退役军人医疗、疗养、养老等机构的规划政策。承担不适宜继续服役的伤病残军人相关工作。负责全县伤病残退役士兵接收安置工作。组织开展军供服务保障工作。</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Cs/>
          <w:sz w:val="32"/>
          <w:szCs w:val="32"/>
          <w:lang w:val="en-US"/>
        </w:rPr>
      </w:pPr>
      <w:r>
        <w:rPr>
          <w:rFonts w:hint="eastAsia" w:ascii="仿宋_GB2312" w:hAnsi="仿宋_GB2312" w:eastAsia="仿宋_GB2312" w:cs="仿宋_GB2312"/>
          <w:bCs/>
          <w:kern w:val="2"/>
          <w:sz w:val="32"/>
          <w:szCs w:val="32"/>
          <w:lang w:val="en-US" w:eastAsia="zh-CN" w:bidi="ar"/>
        </w:rPr>
        <w:t>7、组织开展全县拥军优属工作。负责现役军人、退役军人、军队文职人员和军属优待、抚恤等工作，指导实施国民党抗战老兵等有关人员优待政策。</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Cs/>
          <w:sz w:val="32"/>
          <w:szCs w:val="32"/>
          <w:lang w:val="en-US"/>
        </w:rPr>
      </w:pPr>
      <w:r>
        <w:rPr>
          <w:rFonts w:hint="eastAsia" w:ascii="仿宋_GB2312" w:hAnsi="仿宋_GB2312" w:eastAsia="仿宋_GB2312" w:cs="仿宋_GB2312"/>
          <w:bCs/>
          <w:kern w:val="2"/>
          <w:sz w:val="32"/>
          <w:szCs w:val="32"/>
          <w:lang w:val="en-US" w:eastAsia="zh-CN" w:bidi="ar"/>
        </w:rPr>
        <w:t>8、负责烈士及退役军人荣誉奖励、军人公墓管理维护、纪念活动等工作，依法承担英雄烈士保护相关工作，申报拟列入全国、全省、全市重点保护单位的烈士纪念建筑物名录，审核拟列入全县重点保护单位的烈士纪念建筑物名录，总结表彰和宣扬退役军人、负责退役军人服务工作的单位和个人先进典型事迹。褒扬彰显退役军人为党、国家和人民牺牲奉献的精神风范和价值导向。</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Cs/>
          <w:sz w:val="32"/>
          <w:szCs w:val="32"/>
          <w:lang w:val="en-US"/>
        </w:rPr>
      </w:pPr>
      <w:r>
        <w:rPr>
          <w:rFonts w:hint="eastAsia" w:ascii="仿宋_GB2312" w:hAnsi="仿宋_GB2312" w:eastAsia="仿宋_GB2312" w:cs="仿宋_GB2312"/>
          <w:bCs/>
          <w:kern w:val="2"/>
          <w:sz w:val="32"/>
          <w:szCs w:val="32"/>
          <w:lang w:val="en-US" w:eastAsia="zh-CN" w:bidi="ar"/>
        </w:rPr>
        <w:t>9、指导并监督检查退役军人相关法律法规和政策措施的落实，组织开展退役军人权益维护和有关人员的帮扶援助工作。</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bCs/>
          <w:sz w:val="32"/>
          <w:szCs w:val="32"/>
          <w:lang w:val="en-US"/>
        </w:rPr>
      </w:pPr>
      <w:r>
        <w:rPr>
          <w:rFonts w:hint="eastAsia" w:ascii="仿宋_GB2312" w:hAnsi="仿宋_GB2312" w:eastAsia="仿宋_GB2312" w:cs="仿宋_GB2312"/>
          <w:bCs/>
          <w:kern w:val="2"/>
          <w:sz w:val="32"/>
          <w:szCs w:val="32"/>
          <w:lang w:val="en-US" w:eastAsia="zh-CN" w:bidi="ar"/>
        </w:rPr>
        <w:t>10、配合部队完成退役军人其他相关工作。</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kern w:val="2"/>
          <w:sz w:val="32"/>
          <w:szCs w:val="32"/>
          <w:lang w:val="en-US" w:eastAsia="zh-CN" w:bidi="ar"/>
        </w:rPr>
        <w:t>11、完成县委、县人民政府交办的其他任务。</w:t>
      </w:r>
    </w:p>
    <w:p>
      <w:pPr>
        <w:keepNext w:val="0"/>
        <w:keepLines w:val="0"/>
        <w:pageBreakBefore w:val="0"/>
        <w:widowControl w:val="0"/>
        <w:kinsoku/>
        <w:wordWrap/>
        <w:overflowPunct/>
        <w:topLinePunct w:val="0"/>
        <w:autoSpaceDE/>
        <w:autoSpaceDN/>
        <w:bidi w:val="0"/>
        <w:adjustRightInd/>
        <w:snapToGrid/>
        <w:spacing w:line="560" w:lineRule="exact"/>
        <w:ind w:firstLine="635"/>
        <w:textAlignment w:val="auto"/>
        <w:rPr>
          <w:rFonts w:hint="eastAsia" w:ascii="黑体" w:hAnsi="楷体" w:eastAsia="黑体"/>
          <w:kern w:val="0"/>
          <w:sz w:val="32"/>
          <w:szCs w:val="32"/>
        </w:rPr>
      </w:pPr>
      <w:r>
        <w:rPr>
          <w:rFonts w:hint="eastAsia" w:ascii="黑体" w:hAnsi="楷体" w:eastAsia="黑体"/>
          <w:kern w:val="0"/>
          <w:sz w:val="32"/>
          <w:szCs w:val="32"/>
        </w:rPr>
        <w:t>二、部门机构设置及预算单位构成情况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．根据部门职责分工，本部门内设机构包括</w:t>
      </w:r>
      <w:r>
        <w:rPr>
          <w:rFonts w:hint="eastAsia" w:ascii="仿宋_GB2312" w:hAnsi="楷体" w:eastAsia="仿宋_GB2312"/>
          <w:kern w:val="0"/>
          <w:sz w:val="32"/>
          <w:szCs w:val="32"/>
          <w:lang w:eastAsia="zh-CN"/>
        </w:rPr>
        <w:t>办公室、就业创业股、思想政治和权益维护股、退役军人安置股、拥军优抚股</w:t>
      </w:r>
      <w:r>
        <w:rPr>
          <w:rFonts w:hint="eastAsia" w:ascii="仿宋_GB2312" w:hAnsi="楷体" w:eastAsia="仿宋_GB2312"/>
          <w:kern w:val="0"/>
          <w:sz w:val="32"/>
          <w:szCs w:val="32"/>
        </w:rPr>
        <w:t>。本部门有1个下属单位。</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洪洞县退役军人事务局成立于2019年4月，为全额行政单位，正科级建制，有退役军人服务中心一个下属事业单位。局机关编制10人，实有9人;退役军人服务中心编制38人，实有36人。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olor w:val="FF0000"/>
          <w:kern w:val="0"/>
          <w:sz w:val="32"/>
          <w:szCs w:val="32"/>
          <w:lang w:val="en-US" w:eastAsia="zh-CN"/>
        </w:rPr>
      </w:pPr>
      <w:r>
        <w:rPr>
          <w:rFonts w:hint="eastAsia" w:ascii="仿宋_GB2312" w:hAnsi="楷体" w:eastAsia="仿宋_GB2312"/>
          <w:kern w:val="0"/>
          <w:sz w:val="32"/>
          <w:szCs w:val="32"/>
        </w:rPr>
        <w:t>2．从预算单位构成看，纳入本部门2022年部门汇总预算编制范围的预算单位共计1个。</w:t>
      </w:r>
    </w:p>
    <w:p>
      <w:pPr>
        <w:keepNext w:val="0"/>
        <w:keepLines w:val="0"/>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lang w:eastAsia="zh-CN"/>
        </w:rPr>
        <w:t>2022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xml:space="preserve">认真贯彻落实县委县政府关于退役军人管理服务一系列指示精神，按照县委‘五好指示’精神，高起点启动，大跨度发展，全方位推动，努力使我县退役军人管理服务再上新台阶。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（一）在退役军人思想政治教育和权益维护方面。</w:t>
      </w:r>
      <w:r>
        <w:rPr>
          <w:rFonts w:hint="eastAsia" w:ascii="仿宋_GB2312" w:hAnsi="仿宋_GB2312" w:eastAsia="仿宋_GB2312" w:cs="仿宋_GB2312"/>
          <w:kern w:val="0"/>
          <w:sz w:val="32"/>
          <w:szCs w:val="32"/>
          <w:lang w:val="en-US" w:eastAsia="zh-CN"/>
        </w:rPr>
        <w:t>根据政策，进</w:t>
      </w:r>
      <w:r>
        <w:rPr>
          <w:rFonts w:hint="eastAsia" w:ascii="仿宋_GB2312" w:hAnsi="仿宋_GB2312" w:eastAsia="仿宋_GB2312" w:cs="仿宋_GB2312"/>
          <w:sz w:val="32"/>
          <w:szCs w:val="32"/>
          <w:lang w:val="en-US" w:eastAsia="zh-CN"/>
        </w:rPr>
        <w:t>一步做好退役士兵思想政治教育和权益维护工作，对符合政策的人员，协调相关部门落实政策，对不符合政策的人员，耐心解释政策，做好思想帮扶和生活帮扶工作。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在退役军人就业创业方面。一是搞好退役士兵就业创业工作，开展技能培训，并加强与县域内民营企业的联系，拓宽就业创业渠道，做好退役士兵就业工作;开展创业培训，为有创业意向的退役士兵提供支持；二是根据上级要求，做好部分退役军人养老保险接续登记、统计、审核和报送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（三）在退役军人安置方面，根据省市退役军人事务部门的要求，做好军队转业干部和转业士官的安置接受工作。</w:t>
      </w:r>
      <w:r>
        <w:rPr>
          <w:rFonts w:hint="eastAsia" w:ascii="仿宋_GB2312" w:hAnsi="仿宋_GB2312" w:eastAsia="仿宋_GB2312" w:cs="仿宋_GB2312"/>
          <w:sz w:val="32"/>
          <w:szCs w:val="32"/>
        </w:rPr>
        <w:t>一是认真做好退役士兵接收报到工作。</w:t>
      </w:r>
      <w:r>
        <w:rPr>
          <w:rFonts w:hint="eastAsia" w:ascii="仿宋_GB2312" w:hAnsi="仿宋_GB2312" w:eastAsia="仿宋_GB2312" w:cs="仿宋_GB2312"/>
          <w:sz w:val="32"/>
          <w:szCs w:val="32"/>
          <w:lang w:val="en-US" w:eastAsia="zh-CN"/>
        </w:rPr>
        <w:t>根据要求，组织人员到火车站、高铁站进行接站。二</w:t>
      </w:r>
      <w:r>
        <w:rPr>
          <w:rFonts w:hint="eastAsia" w:ascii="仿宋_GB2312" w:hAnsi="仿宋_GB2312" w:eastAsia="仿宋_GB2312" w:cs="仿宋_GB2312"/>
          <w:sz w:val="32"/>
          <w:szCs w:val="32"/>
        </w:rPr>
        <w:t>是积极宣传安置政策。</w:t>
      </w:r>
      <w:r>
        <w:rPr>
          <w:rFonts w:hint="eastAsia" w:ascii="仿宋_GB2312" w:hAnsi="仿宋_GB2312" w:eastAsia="仿宋_GB2312" w:cs="仿宋_GB2312"/>
          <w:sz w:val="32"/>
          <w:szCs w:val="32"/>
          <w:lang w:val="en-US" w:eastAsia="zh-CN"/>
        </w:rPr>
        <w:t>三是量化打分排名，公开公平进行选岗。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在拥军优抚方面，一是做好八一、春节慰问和双拥工作;二是结合我县烈士纪念设施分散、规模小，不利于举行大型烈士纪念活动的现状，兴建综合性县级烈士陵园；三是做好各类优抚对象的登记审核和补助发放工作。根据上级要求，对参战参试人员进行身份核查；四是持续开展退役军人信息采集工作，对我县2022年前退役军人进行信息采集，做到应采尽采，不漏一人。五是做好光荣牌悬挂工作，对2022年新增退役军人、现役军人做好登记和光荣牌悬挂工作。</w:t>
      </w:r>
    </w:p>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第二部分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一、洪洞县退役军人事务局2022年预算收支总表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二、洪洞县退役军人事务局2022年预算收入总表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三、洪洞县退役军人事务局2022预算支出总表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四、洪洞县退役军人事务局2022年财政拨款收支总表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五、洪洞县退役军人事务局2022年一般公共预算支出预算表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六、洪洞县退役军人事务局2022年一般公共预算安排基本支出分经济科目表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七、洪洞县退役军人事务局2022年政府性基金预算收入预算表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八、洪洞县退役军人事务局2022年政府性基金预算支出预算表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九、洪洞县退役军人事务局2022年政府采购支出预算表</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leftChars="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十、洪洞县退役军人事务局2022年机关运行经费预算财政拨款情况统计表</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十一、洪洞县退役军人事务局2022年“三公”经费预算表</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十二、洪洞县退役军人事务局2022年财政项目支出绩效目标表</w:t>
      </w:r>
    </w:p>
    <w:p>
      <w:pPr>
        <w:pStyle w:val="9"/>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
        </w:rPr>
        <w:t>十三、洪洞县退役军人事务局2022年</w:t>
      </w:r>
      <w:r>
        <w:rPr>
          <w:rFonts w:hint="eastAsia" w:ascii="仿宋_GB2312" w:eastAsia="仿宋_GB2312"/>
          <w:sz w:val="32"/>
          <w:szCs w:val="32"/>
        </w:rPr>
        <w:t>政府购买服务预算明细表</w:t>
      </w:r>
    </w:p>
    <w:p>
      <w:pPr>
        <w:pStyle w:val="9"/>
        <w:keepNext w:val="0"/>
        <w:keepLines w:val="0"/>
        <w:pageBreakBefore w:val="0"/>
        <w:numPr>
          <w:ilvl w:val="0"/>
          <w:numId w:val="0"/>
        </w:numPr>
        <w:kinsoku/>
        <w:wordWrap/>
        <w:overflowPunct/>
        <w:topLinePunct w:val="0"/>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四、</w:t>
      </w:r>
      <w:r>
        <w:rPr>
          <w:rFonts w:hint="eastAsia" w:ascii="仿宋_GB2312" w:hAnsi="Times New Roman" w:eastAsia="仿宋_GB2312" w:cs="仿宋_GB2312"/>
          <w:kern w:val="2"/>
          <w:sz w:val="32"/>
          <w:szCs w:val="32"/>
          <w:lang w:val="en-US" w:eastAsia="zh-CN" w:bidi="ar"/>
        </w:rPr>
        <w:t>洪洞县退役军人事务局</w:t>
      </w:r>
      <w:r>
        <w:rPr>
          <w:rFonts w:hint="eastAsia" w:ascii="仿宋_GB2312" w:eastAsia="仿宋_GB2312"/>
          <w:sz w:val="32"/>
          <w:szCs w:val="32"/>
        </w:rPr>
        <w:t>2022年国有资本经营预算收支预算表</w:t>
      </w:r>
    </w:p>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第三部分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洪洞县退役军人事务局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6747.2997</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508.0497</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8</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6747.2997</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6747.2997</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6747.2997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508.0497</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8</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FF0000"/>
          <w:kern w:val="0"/>
          <w:sz w:val="32"/>
          <w:szCs w:val="32"/>
        </w:rPr>
        <w:t>主要原因</w:t>
      </w:r>
      <w:r>
        <w:rPr>
          <w:rFonts w:hint="eastAsia" w:ascii="仿宋_GB2312" w:hAnsi="楷体" w:eastAsia="仿宋_GB2312"/>
          <w:color w:val="FF0000"/>
          <w:kern w:val="0"/>
          <w:sz w:val="32"/>
          <w:szCs w:val="32"/>
          <w:lang w:eastAsia="zh-CN"/>
        </w:rPr>
        <w:t>是机构整合人员增加，</w:t>
      </w:r>
      <w:r>
        <w:rPr>
          <w:rFonts w:hint="eastAsia" w:ascii="仿宋_GB2312" w:hAnsi="楷体" w:eastAsia="仿宋_GB2312"/>
          <w:kern w:val="0"/>
          <w:sz w:val="32"/>
          <w:szCs w:val="32"/>
          <w:lang w:val="en-US" w:eastAsia="zh-CN"/>
        </w:rPr>
        <w:t>义务兵家庭优待金</w:t>
      </w:r>
      <w:r>
        <w:rPr>
          <w:rFonts w:hint="eastAsia" w:ascii="仿宋_GB2312" w:hAnsi="楷体" w:eastAsia="仿宋_GB2312"/>
          <w:color w:val="FF0000"/>
          <w:kern w:val="0"/>
          <w:sz w:val="32"/>
          <w:szCs w:val="32"/>
          <w:lang w:eastAsia="zh-CN"/>
        </w:rPr>
        <w:t>项目经费的增加。</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lang w:val="en-US" w:eastAsia="zh-CN"/>
        </w:rPr>
        <w:t>6747.2997</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社会保障和就业支出</w:t>
      </w:r>
      <w:r>
        <w:rPr>
          <w:rFonts w:hint="eastAsia" w:ascii="仿宋_GB2312" w:hAnsi="楷体" w:eastAsia="仿宋_GB2312"/>
          <w:kern w:val="0"/>
          <w:sz w:val="32"/>
          <w:szCs w:val="32"/>
          <w:u w:val="single"/>
          <w:lang w:val="en-US" w:eastAsia="zh-CN"/>
        </w:rPr>
        <w:t>6218.9950</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461.055</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8</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主要原因是义务兵家庭优待金提前下拨至县级</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．卫生健康支出</w:t>
      </w:r>
      <w:r>
        <w:rPr>
          <w:rFonts w:hint="eastAsia" w:ascii="仿宋_GB2312" w:hAnsi="楷体" w:eastAsia="仿宋_GB2312"/>
          <w:kern w:val="0"/>
          <w:sz w:val="32"/>
          <w:szCs w:val="32"/>
          <w:u w:val="single"/>
          <w:lang w:val="en-US" w:eastAsia="zh-CN"/>
        </w:rPr>
        <w:t>97.68</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与上年相比增加</w:t>
      </w:r>
      <w:r>
        <w:rPr>
          <w:rFonts w:hint="eastAsia" w:ascii="仿宋_GB2312" w:hAnsi="楷体" w:eastAsia="仿宋_GB2312"/>
          <w:kern w:val="0"/>
          <w:sz w:val="32"/>
          <w:szCs w:val="32"/>
          <w:lang w:val="en-US" w:eastAsia="zh-CN"/>
        </w:rPr>
        <w:t>1.73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w:t>
      </w:r>
      <w:r>
        <w:rPr>
          <w:rFonts w:hint="eastAsia" w:ascii="仿宋_GB2312" w:hAnsi="楷体" w:eastAsia="仿宋_GB2312"/>
          <w:kern w:val="0"/>
          <w:sz w:val="32"/>
          <w:szCs w:val="32"/>
        </w:rPr>
        <w:t>长</w:t>
      </w:r>
      <w:r>
        <w:rPr>
          <w:rFonts w:hint="eastAsia" w:ascii="仿宋_GB2312" w:hAnsi="楷体" w:eastAsia="仿宋_GB2312"/>
          <w:kern w:val="0"/>
          <w:sz w:val="32"/>
          <w:szCs w:val="32"/>
          <w:u w:val="single"/>
          <w:lang w:val="en-US" w:eastAsia="zh-CN"/>
        </w:rPr>
        <w:t>2</w:t>
      </w:r>
      <w:r>
        <w:rPr>
          <w:rFonts w:ascii="仿宋_GB2312" w:hAnsi="楷体" w:eastAsia="仿宋_GB2312"/>
          <w:kern w:val="0"/>
          <w:sz w:val="32"/>
          <w:szCs w:val="32"/>
        </w:rPr>
        <w:t>%</w:t>
      </w:r>
      <w:r>
        <w:rPr>
          <w:rFonts w:hint="eastAsia" w:ascii="仿宋_GB2312" w:hAnsi="楷体" w:eastAsia="仿宋_GB2312"/>
          <w:kern w:val="0"/>
          <w:sz w:val="32"/>
          <w:szCs w:val="32"/>
          <w:lang w:eastAsia="zh-CN"/>
        </w:rPr>
        <w:t>，主要原因是优抚对象增加。</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lang w:eastAsia="zh-CN"/>
        </w:rPr>
      </w:pPr>
      <w:r>
        <w:rPr>
          <w:rFonts w:ascii="仿宋_GB2312" w:hAnsi="楷体" w:eastAsia="仿宋_GB2312"/>
          <w:kern w:val="0"/>
          <w:sz w:val="32"/>
          <w:szCs w:val="32"/>
        </w:rPr>
        <w:t>3</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430.6247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45.2647</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增长</w:t>
      </w:r>
      <w:r>
        <w:rPr>
          <w:rFonts w:hint="eastAsia" w:ascii="仿宋_GB2312" w:hAnsi="楷体" w:eastAsia="仿宋_GB2312"/>
          <w:kern w:val="0"/>
          <w:sz w:val="32"/>
          <w:szCs w:val="32"/>
          <w:u w:val="single"/>
          <w:lang w:val="en-US" w:eastAsia="zh-CN"/>
        </w:rPr>
        <w:t>12</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FF0000"/>
          <w:kern w:val="0"/>
          <w:sz w:val="32"/>
          <w:szCs w:val="32"/>
        </w:rPr>
        <w:t>主要原因</w:t>
      </w:r>
      <w:r>
        <w:rPr>
          <w:rFonts w:hint="eastAsia" w:ascii="仿宋_GB2312" w:hAnsi="楷体" w:eastAsia="仿宋_GB2312"/>
          <w:color w:val="FF0000"/>
          <w:kern w:val="0"/>
          <w:sz w:val="32"/>
          <w:szCs w:val="32"/>
          <w:lang w:eastAsia="zh-CN"/>
        </w:rPr>
        <w:t>是机构整合人员增加。</w:t>
      </w:r>
    </w:p>
    <w:p>
      <w:pPr>
        <w:keepNext w:val="0"/>
        <w:keepLines w:val="0"/>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洪洞县退役军人事务局</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6747.2997</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6747.2997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洪洞县退役军人事务局</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6747.2997</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430.6247</w:t>
      </w:r>
      <w:r>
        <w:rPr>
          <w:rFonts w:hint="eastAsia" w:ascii="仿宋_GB2312" w:hAnsi="楷体" w:eastAsia="仿宋_GB2312"/>
          <w:kern w:val="0"/>
          <w:sz w:val="32"/>
          <w:szCs w:val="32"/>
        </w:rPr>
        <w:t>万元，占</w:t>
      </w:r>
      <w:r>
        <w:rPr>
          <w:rFonts w:hint="eastAsia" w:ascii="仿宋_GB2312" w:hAnsi="楷体" w:eastAsia="仿宋_GB2312"/>
          <w:kern w:val="0"/>
          <w:sz w:val="32"/>
          <w:szCs w:val="32"/>
          <w:lang w:val="en-US" w:eastAsia="zh-CN"/>
        </w:rPr>
        <w:t>6</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6316.675</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94</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u w:val="none"/>
          <w:lang w:eastAsia="zh-CN"/>
        </w:rPr>
        <w:t>洪洞县退役军人事务局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6747.2997</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508.0497</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8</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FF0000"/>
          <w:kern w:val="0"/>
          <w:sz w:val="32"/>
          <w:szCs w:val="32"/>
        </w:rPr>
        <w:t>主要原因</w:t>
      </w:r>
      <w:r>
        <w:rPr>
          <w:rFonts w:hint="eastAsia" w:ascii="仿宋_GB2312" w:hAnsi="楷体" w:eastAsia="仿宋_GB2312"/>
          <w:color w:val="FF0000"/>
          <w:kern w:val="0"/>
          <w:sz w:val="32"/>
          <w:szCs w:val="32"/>
          <w:lang w:eastAsia="zh-CN"/>
        </w:rPr>
        <w:t>是机构整合人员增加及项目经费的增加。</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u w:val="none"/>
          <w:lang w:eastAsia="zh-CN"/>
        </w:rPr>
        <w:t>洪洞县退役军人事务局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6747.2997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508.0497</w:t>
      </w:r>
      <w:r>
        <w:rPr>
          <w:rFonts w:hint="eastAsia" w:ascii="仿宋_GB2312" w:hAnsi="楷体" w:eastAsia="仿宋_GB2312"/>
          <w:kern w:val="0"/>
          <w:sz w:val="32"/>
          <w:szCs w:val="32"/>
        </w:rPr>
        <w:t>万元，</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8</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FF0000"/>
          <w:kern w:val="0"/>
          <w:sz w:val="32"/>
          <w:szCs w:val="32"/>
        </w:rPr>
        <w:t>主要原因</w:t>
      </w:r>
      <w:r>
        <w:rPr>
          <w:rFonts w:hint="eastAsia" w:ascii="仿宋_GB2312" w:hAnsi="楷体" w:eastAsia="仿宋_GB2312"/>
          <w:color w:val="FF0000"/>
          <w:kern w:val="0"/>
          <w:sz w:val="32"/>
          <w:szCs w:val="32"/>
          <w:lang w:eastAsia="zh-CN"/>
        </w:rPr>
        <w:t>是机构整合人员增加及项目经费的增加。</w:t>
      </w:r>
    </w:p>
    <w:p>
      <w:pPr>
        <w:keepNext w:val="0"/>
        <w:keepLines w:val="0"/>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洪洞县退役军人事务局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430.6247</w:t>
      </w:r>
      <w:r>
        <w:rPr>
          <w:rFonts w:hint="eastAsia" w:ascii="仿宋_GB2312" w:hAnsi="楷体" w:eastAsia="仿宋_GB2312"/>
          <w:kern w:val="0"/>
          <w:sz w:val="32"/>
          <w:szCs w:val="32"/>
        </w:rPr>
        <w:t>万元，其中：</w:t>
      </w:r>
    </w:p>
    <w:p>
      <w:pPr>
        <w:keepNext w:val="0"/>
        <w:keepLines w:val="0"/>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396.7891</w:t>
      </w:r>
      <w:r>
        <w:rPr>
          <w:rFonts w:hint="eastAsia" w:ascii="仿宋_GB2312" w:hAnsi="楷体" w:eastAsia="仿宋_GB2312"/>
          <w:kern w:val="0"/>
          <w:sz w:val="32"/>
          <w:szCs w:val="32"/>
        </w:rPr>
        <w:t>万元。主要包括：基本工资、津贴补贴、奖金、绩效工资、</w:t>
      </w:r>
      <w:r>
        <w:rPr>
          <w:rFonts w:hint="eastAsia" w:ascii="仿宋_GB2312" w:hAnsi="楷体" w:eastAsia="仿宋_GB2312"/>
          <w:kern w:val="0"/>
          <w:sz w:val="32"/>
          <w:szCs w:val="32"/>
          <w:lang w:eastAsia="zh-CN"/>
        </w:rPr>
        <w:t>机关事业单位基本养老保险缴费、职工基本医疗保险缴费、其他社会保障缴费、</w:t>
      </w:r>
      <w:r>
        <w:rPr>
          <w:rFonts w:hint="eastAsia" w:ascii="仿宋_GB2312" w:hAnsi="楷体" w:eastAsia="仿宋_GB2312"/>
          <w:kern w:val="0"/>
          <w:sz w:val="32"/>
          <w:szCs w:val="32"/>
        </w:rPr>
        <w:t>住房公积金、</w:t>
      </w:r>
      <w:r>
        <w:rPr>
          <w:rFonts w:hint="eastAsia" w:ascii="仿宋_GB2312" w:hAnsi="楷体" w:eastAsia="仿宋_GB2312"/>
          <w:kern w:val="0"/>
          <w:sz w:val="32"/>
          <w:szCs w:val="32"/>
          <w:lang w:eastAsia="zh-CN"/>
        </w:rPr>
        <w:t>退休费、生活补助</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33.8356</w:t>
      </w:r>
      <w:r>
        <w:rPr>
          <w:rFonts w:hint="eastAsia" w:ascii="仿宋_GB2312" w:hAnsi="楷体" w:eastAsia="仿宋_GB2312"/>
          <w:kern w:val="0"/>
          <w:sz w:val="32"/>
          <w:szCs w:val="32"/>
        </w:rPr>
        <w:t>万元。主要包括：办公费、差旅费、维修（护）费、工会经费、福利费、其他交通费用</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其他商品和服务支出</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洪洞县退役军人事务局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与上年预算数相同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洪洞县退役军人事务局</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万元。其中：</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万元，比上年预算</w:t>
      </w:r>
      <w:r>
        <w:rPr>
          <w:rFonts w:hint="eastAsia" w:ascii="仿宋_GB2312" w:hAnsi="楷体" w:eastAsia="仿宋_GB2312"/>
          <w:kern w:val="0"/>
          <w:sz w:val="32"/>
          <w:szCs w:val="32"/>
          <w:lang w:val="en-US" w:eastAsia="zh-CN"/>
        </w:rPr>
        <w:t>增加</w:t>
      </w:r>
      <w:r>
        <w:rPr>
          <w:rFonts w:hint="eastAsia" w:ascii="仿宋_GB2312" w:hAnsi="楷体" w:eastAsia="仿宋_GB2312"/>
          <w:kern w:val="0"/>
          <w:sz w:val="32"/>
          <w:szCs w:val="32"/>
          <w:u w:val="single"/>
          <w:lang w:val="en-US" w:eastAsia="zh-CN"/>
        </w:rPr>
        <w:t>0.1</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color w:val="FF0000"/>
          <w:kern w:val="0"/>
          <w:sz w:val="32"/>
          <w:szCs w:val="32"/>
          <w:lang w:eastAsia="zh-CN"/>
        </w:rPr>
      </w:pPr>
      <w:r>
        <w:rPr>
          <w:rFonts w:hint="eastAsia" w:ascii="仿宋_GB2312" w:hAnsi="楷体" w:eastAsia="仿宋_GB2312"/>
          <w:color w:val="FF0000"/>
          <w:kern w:val="0"/>
          <w:sz w:val="32"/>
          <w:szCs w:val="32"/>
          <w:lang w:eastAsia="zh-CN"/>
        </w:rPr>
        <w:t>2022</w:t>
      </w:r>
      <w:r>
        <w:rPr>
          <w:rFonts w:hint="eastAsia" w:ascii="仿宋_GB2312" w:hAnsi="楷体" w:eastAsia="仿宋_GB2312"/>
          <w:color w:val="FF0000"/>
          <w:kern w:val="0"/>
          <w:sz w:val="32"/>
          <w:szCs w:val="32"/>
        </w:rPr>
        <w:t>年本部门一般公共预算机关运行经费预算支出</w:t>
      </w:r>
      <w:r>
        <w:rPr>
          <w:rFonts w:hint="eastAsia" w:ascii="仿宋_GB2312" w:hAnsi="楷体" w:eastAsia="仿宋_GB2312"/>
          <w:color w:val="FF0000"/>
          <w:kern w:val="0"/>
          <w:sz w:val="32"/>
          <w:szCs w:val="32"/>
          <w:u w:val="single"/>
          <w:lang w:val="en-US" w:eastAsia="zh-CN"/>
        </w:rPr>
        <w:t>33.8356</w:t>
      </w:r>
      <w:r>
        <w:rPr>
          <w:rFonts w:hint="eastAsia" w:ascii="仿宋_GB2312" w:hAnsi="楷体" w:eastAsia="仿宋_GB2312"/>
          <w:color w:val="FF0000"/>
          <w:kern w:val="0"/>
          <w:sz w:val="32"/>
          <w:szCs w:val="32"/>
        </w:rPr>
        <w:t>万元，与上年相比增加</w:t>
      </w:r>
      <w:r>
        <w:rPr>
          <w:rFonts w:hint="eastAsia" w:ascii="仿宋_GB2312" w:hAnsi="楷体" w:eastAsia="仿宋_GB2312"/>
          <w:color w:val="FF0000"/>
          <w:kern w:val="0"/>
          <w:sz w:val="32"/>
          <w:szCs w:val="32"/>
          <w:u w:val="single"/>
          <w:lang w:val="en-US" w:eastAsia="zh-CN"/>
        </w:rPr>
        <w:t>3.1756</w:t>
      </w:r>
      <w:r>
        <w:rPr>
          <w:rFonts w:hint="eastAsia" w:ascii="仿宋_GB2312" w:hAnsi="楷体" w:eastAsia="仿宋_GB2312"/>
          <w:color w:val="FF0000"/>
          <w:kern w:val="0"/>
          <w:sz w:val="32"/>
          <w:szCs w:val="32"/>
        </w:rPr>
        <w:t>万元，增长</w:t>
      </w:r>
      <w:r>
        <w:rPr>
          <w:rFonts w:hint="eastAsia" w:ascii="仿宋_GB2312" w:hAnsi="楷体" w:eastAsia="仿宋_GB2312"/>
          <w:color w:val="FF0000"/>
          <w:kern w:val="0"/>
          <w:sz w:val="32"/>
          <w:szCs w:val="32"/>
          <w:lang w:val="en-US" w:eastAsia="zh-CN"/>
        </w:rPr>
        <w:t>10</w:t>
      </w:r>
      <w:r>
        <w:rPr>
          <w:rFonts w:ascii="仿宋_GB2312" w:hAnsi="楷体" w:eastAsia="仿宋_GB2312"/>
          <w:color w:val="FF0000"/>
          <w:kern w:val="0"/>
          <w:sz w:val="32"/>
          <w:szCs w:val="32"/>
        </w:rPr>
        <w:t>%</w:t>
      </w:r>
      <w:r>
        <w:rPr>
          <w:rFonts w:hint="eastAsia" w:ascii="仿宋_GB2312" w:hAnsi="楷体" w:eastAsia="仿宋_GB2312"/>
          <w:color w:val="FF0000"/>
          <w:kern w:val="0"/>
          <w:sz w:val="32"/>
          <w:szCs w:val="32"/>
        </w:rPr>
        <w:t>。主要原因</w:t>
      </w:r>
      <w:r>
        <w:rPr>
          <w:rFonts w:hint="eastAsia" w:ascii="仿宋_GB2312" w:hAnsi="楷体" w:eastAsia="仿宋_GB2312"/>
          <w:color w:val="FF0000"/>
          <w:kern w:val="0"/>
          <w:sz w:val="32"/>
          <w:szCs w:val="32"/>
          <w:lang w:eastAsia="zh-CN"/>
        </w:rPr>
        <w:t>是人员增加，人员</w:t>
      </w:r>
      <w:r>
        <w:rPr>
          <w:rFonts w:hint="eastAsia" w:ascii="仿宋_GB2312" w:hAnsi="楷体" w:eastAsia="仿宋_GB2312"/>
          <w:color w:val="FF0000"/>
          <w:kern w:val="0"/>
          <w:sz w:val="32"/>
          <w:szCs w:val="32"/>
          <w:lang w:val="en-US" w:eastAsia="zh-CN"/>
        </w:rPr>
        <w:t>人头经费增加</w:t>
      </w:r>
      <w:r>
        <w:rPr>
          <w:rFonts w:hint="eastAsia" w:ascii="仿宋_GB2312" w:hAnsi="楷体" w:eastAsia="仿宋_GB2312"/>
          <w:color w:val="FF0000"/>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2.03</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2.03</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default"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1、车辆情况：</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 xml:space="preserve"> 1 </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 xml:space="preserve"> 0 </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1</w:t>
      </w:r>
      <w:r>
        <w:rPr>
          <w:rFonts w:hint="eastAsia" w:ascii="仿宋_GB2312" w:hAnsi="楷体" w:eastAsia="仿宋_GB2312"/>
          <w:kern w:val="0"/>
          <w:sz w:val="32"/>
          <w:szCs w:val="32"/>
        </w:rPr>
        <w:t>辆</w:t>
      </w:r>
      <w:r>
        <w:rPr>
          <w:rFonts w:hint="eastAsia" w:ascii="仿宋_GB2312" w:hAnsi="楷体" w:eastAsia="仿宋_GB2312"/>
          <w:kern w:val="0"/>
          <w:sz w:val="32"/>
          <w:szCs w:val="32"/>
          <w:lang w:eastAsia="zh-CN"/>
        </w:rPr>
        <w:t>，价值</w:t>
      </w:r>
      <w:r>
        <w:rPr>
          <w:rFonts w:hint="eastAsia" w:ascii="仿宋_GB2312" w:hAnsi="楷体" w:eastAsia="仿宋_GB2312"/>
          <w:kern w:val="0"/>
          <w:sz w:val="32"/>
          <w:szCs w:val="32"/>
          <w:lang w:val="en-US" w:eastAsia="zh-CN"/>
        </w:rPr>
        <w:t>22.6010万元。</w:t>
      </w:r>
    </w:p>
    <w:p>
      <w:pPr>
        <w:keepNext w:val="0"/>
        <w:keepLines w:val="0"/>
        <w:pageBreakBefore w:val="0"/>
        <w:widowControl w:val="0"/>
        <w:suppressLineNumbers w:val="0"/>
        <w:kinsoku/>
        <w:wordWrap/>
        <w:overflowPunct/>
        <w:topLinePunct w:val="0"/>
        <w:bidi w:val="0"/>
        <w:snapToGrid/>
        <w:spacing w:beforeAutospacing="0" w:after="0" w:afterAutospacing="0" w:line="560" w:lineRule="exact"/>
        <w:ind w:left="0" w:right="0" w:firstLine="640" w:firstLineChars="200"/>
        <w:jc w:val="both"/>
        <w:textAlignment w:val="auto"/>
        <w:rPr>
          <w:rFonts w:hint="default" w:ascii="仿宋_GB2312" w:eastAsia="仿宋_GB2312" w:cs="仿宋_GB2312"/>
          <w:color w:val="000000"/>
          <w:sz w:val="32"/>
          <w:szCs w:val="32"/>
          <w:lang w:val="en-US"/>
        </w:rPr>
      </w:pPr>
      <w:r>
        <w:rPr>
          <w:rFonts w:hint="eastAsia" w:ascii="仿宋_GB2312" w:hAnsi="Calibri" w:eastAsia="仿宋_GB2312" w:cs="仿宋_GB2312"/>
          <w:kern w:val="2"/>
          <w:sz w:val="32"/>
          <w:szCs w:val="32"/>
          <w:lang w:val="en-US" w:eastAsia="zh-CN" w:bidi="ar"/>
        </w:rPr>
        <w:t>2、房屋情况</w:t>
      </w:r>
      <w:r>
        <w:rPr>
          <w:rFonts w:hint="eastAsia" w:ascii="仿宋_GB2312" w:eastAsia="仿宋_GB2312" w:cs="仿宋_GB2312"/>
          <w:kern w:val="2"/>
          <w:sz w:val="32"/>
          <w:szCs w:val="32"/>
          <w:lang w:val="en-US" w:eastAsia="zh-CN" w:bidi="ar"/>
        </w:rPr>
        <w:t>：</w:t>
      </w:r>
      <w:r>
        <w:rPr>
          <w:rFonts w:hint="eastAsia" w:ascii="仿宋_GB2312" w:hAnsi="Calibri" w:eastAsia="仿宋_GB2312" w:cs="仿宋_GB2312"/>
          <w:color w:val="000000"/>
          <w:kern w:val="2"/>
          <w:sz w:val="32"/>
          <w:szCs w:val="32"/>
          <w:lang w:val="en-US" w:eastAsia="zh-CN" w:bidi="ar"/>
        </w:rPr>
        <w:t>办公用房总建筑面积</w:t>
      </w:r>
      <w:r>
        <w:rPr>
          <w:rFonts w:hint="eastAsia" w:ascii="仿宋_GB2312" w:eastAsia="仿宋_GB2312" w:cs="仿宋_GB2312"/>
          <w:color w:val="000000"/>
          <w:kern w:val="2"/>
          <w:sz w:val="32"/>
          <w:szCs w:val="32"/>
          <w:lang w:val="en-US" w:eastAsia="zh-CN" w:bidi="ar"/>
        </w:rPr>
        <w:t>150</w:t>
      </w:r>
      <w:r>
        <w:rPr>
          <w:rFonts w:hint="eastAsia" w:ascii="仿宋_GB2312" w:hAnsi="Calibri" w:eastAsia="仿宋_GB2312" w:cs="仿宋_GB2312"/>
          <w:color w:val="000000"/>
          <w:kern w:val="2"/>
          <w:sz w:val="32"/>
          <w:szCs w:val="32"/>
          <w:lang w:val="en-US" w:eastAsia="zh-CN" w:bidi="ar"/>
        </w:rPr>
        <w:t>平方米</w:t>
      </w:r>
      <w:r>
        <w:rPr>
          <w:rFonts w:hint="eastAsia" w:ascii="仿宋_GB2312" w:eastAsia="仿宋_GB2312" w:cs="仿宋_GB2312"/>
          <w:color w:val="000000"/>
          <w:kern w:val="2"/>
          <w:sz w:val="32"/>
          <w:szCs w:val="32"/>
          <w:lang w:val="en-US" w:eastAsia="zh-CN" w:bidi="ar"/>
        </w:rPr>
        <w:t>，价值22.35万元。</w:t>
      </w:r>
    </w:p>
    <w:p>
      <w:pPr>
        <w:keepNext w:val="0"/>
        <w:keepLines w:val="0"/>
        <w:pageBreakBefore w:val="0"/>
        <w:widowControl w:val="0"/>
        <w:numPr>
          <w:ilvl w:val="0"/>
          <w:numId w:val="1"/>
        </w:numPr>
        <w:suppressLineNumbers w:val="0"/>
        <w:kinsoku/>
        <w:wordWrap/>
        <w:overflowPunct/>
        <w:topLinePunct w:val="0"/>
        <w:bidi w:val="0"/>
        <w:snapToGrid/>
        <w:spacing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Calibri" w:eastAsia="仿宋_GB2312" w:cs="仿宋_GB2312"/>
          <w:color w:val="000000"/>
          <w:kern w:val="2"/>
          <w:sz w:val="32"/>
          <w:szCs w:val="32"/>
          <w:lang w:val="en-US" w:eastAsia="zh-CN" w:bidi="ar"/>
        </w:rPr>
        <w:t>其他国有资</w:t>
      </w:r>
      <w:r>
        <w:rPr>
          <w:rFonts w:hint="eastAsia" w:ascii="仿宋_GB2312" w:hAnsi="楷体" w:eastAsia="仿宋_GB2312"/>
          <w:kern w:val="0"/>
          <w:sz w:val="32"/>
          <w:szCs w:val="32"/>
          <w:lang w:val="en-US" w:eastAsia="zh-CN"/>
        </w:rPr>
        <w:t>产占有使用情况：本部门其他固定资产价值128.04475万元。</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keepNext w:val="0"/>
        <w:keepLines w:val="0"/>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30</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 xml:space="preserve"> 6747.2997 </w:t>
      </w:r>
      <w:r>
        <w:rPr>
          <w:rFonts w:hint="eastAsia" w:ascii="仿宋_GB2312" w:hAnsi="楷体" w:eastAsia="仿宋_GB2312"/>
          <w:kern w:val="0"/>
          <w:sz w:val="32"/>
          <w:szCs w:val="32"/>
        </w:rPr>
        <w:t>万元；本部门单位整体支出（</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rPr>
        <w:t>纳入、□未纳入）绩效目标管理，涉及财政性资金</w:t>
      </w:r>
      <w:r>
        <w:rPr>
          <w:rFonts w:hint="eastAsia" w:ascii="仿宋_GB2312" w:hAnsi="楷体" w:eastAsia="仿宋_GB2312"/>
          <w:kern w:val="0"/>
          <w:sz w:val="32"/>
          <w:szCs w:val="32"/>
          <w:u w:val="single"/>
          <w:lang w:val="en-US" w:eastAsia="zh-CN"/>
        </w:rPr>
        <w:t xml:space="preserve"> 6747.2997 </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lang w:val="en-US" w:eastAsia="zh-CN"/>
        </w:rPr>
        <w:t>(一）</w:t>
      </w:r>
      <w:r>
        <w:rPr>
          <w:rFonts w:hint="eastAsia" w:ascii="仿宋_GB2312" w:hAnsi="仿宋" w:eastAsia="仿宋_GB2312"/>
          <w:kern w:val="0"/>
          <w:sz w:val="32"/>
          <w:szCs w:val="32"/>
        </w:rPr>
        <w:t>政府债券公开</w:t>
      </w:r>
      <w:bookmarkStart w:id="0" w:name="_GoBack"/>
      <w:bookmarkEnd w:id="0"/>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黑体" w:eastAsia="仿宋_GB2312"/>
          <w:b w:val="0"/>
          <w:bCs/>
          <w:spacing w:val="-16"/>
          <w:kern w:val="0"/>
          <w:sz w:val="32"/>
          <w:szCs w:val="32"/>
        </w:rPr>
      </w:pPr>
      <w:r>
        <w:rPr>
          <w:rFonts w:hint="eastAsia" w:ascii="仿宋_GB2312" w:hAnsi="黑体" w:eastAsia="仿宋_GB2312"/>
          <w:b w:val="0"/>
          <w:bCs/>
          <w:kern w:val="0"/>
          <w:sz w:val="32"/>
          <w:szCs w:val="32"/>
          <w:lang w:eastAsia="zh-CN"/>
        </w:rPr>
        <w:t>我单位未使用</w:t>
      </w:r>
      <w:r>
        <w:rPr>
          <w:rFonts w:hint="eastAsia" w:ascii="仿宋_GB2312" w:hAnsi="黑体" w:eastAsia="仿宋_GB2312"/>
          <w:b w:val="0"/>
          <w:bCs/>
          <w:spacing w:val="-16"/>
          <w:kern w:val="0"/>
          <w:sz w:val="32"/>
          <w:szCs w:val="32"/>
        </w:rPr>
        <w:t>政府债券。</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无另需情况说明</w:t>
      </w:r>
    </w:p>
    <w:p>
      <w:pPr>
        <w:keepNext w:val="0"/>
        <w:keepLines w:val="0"/>
        <w:pageBreakBefore w:val="0"/>
        <w:widowControl/>
        <w:kinsoku/>
        <w:wordWrap/>
        <w:overflowPunct/>
        <w:topLinePunct w:val="0"/>
        <w:bidi w:val="0"/>
        <w:snapToGrid/>
        <w:spacing w:line="560" w:lineRule="exact"/>
        <w:jc w:val="center"/>
        <w:textAlignment w:val="auto"/>
        <w:rPr>
          <w:rFonts w:hint="eastAsia" w:ascii="黑体" w:hAnsi="Times New Roman" w:eastAsia="黑体"/>
          <w:kern w:val="0"/>
          <w:sz w:val="44"/>
          <w:szCs w:val="44"/>
        </w:rPr>
      </w:pPr>
      <w:r>
        <w:rPr>
          <w:rFonts w:hint="eastAsia" w:ascii="方正小标宋简体" w:hAnsi="楷体" w:eastAsia="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pStyle w:val="9"/>
        <w:keepNext w:val="0"/>
        <w:keepLines w:val="0"/>
        <w:pageBreakBefore w:val="0"/>
        <w:kinsoku/>
        <w:wordWrap/>
        <w:overflowPunct/>
        <w:topLinePunct w:val="0"/>
        <w:bidi w:val="0"/>
        <w:snapToGrid/>
        <w:spacing w:line="560" w:lineRule="exact"/>
        <w:ind w:left="0" w:firstLine="640" w:firstLineChars="200"/>
        <w:textAlignment w:val="auto"/>
        <w:rPr>
          <w:rFonts w:hint="eastAsia" w:ascii="仿宋_GB2312" w:eastAsia="仿宋_GB2312"/>
          <w:sz w:val="32"/>
          <w:szCs w:val="32"/>
        </w:rPr>
      </w:pPr>
      <w:r>
        <w:rPr>
          <w:rFonts w:hint="eastAsia" w:ascii="仿宋_GB2312" w:hAnsi="仿宋" w:eastAsia="仿宋_GB2312"/>
          <w:kern w:val="0"/>
          <w:sz w:val="32"/>
          <w:szCs w:val="32"/>
          <w:lang w:eastAsia="zh-CN"/>
        </w:rPr>
        <w:t>七、</w:t>
      </w:r>
      <w:r>
        <w:rPr>
          <w:rFonts w:hint="eastAsia" w:ascii="仿宋_GB2312" w:eastAsia="仿宋_GB2312"/>
          <w:sz w:val="32"/>
          <w:szCs w:val="32"/>
        </w:rPr>
        <w:t>政府购买服务：根据我国现行政策规定，政府购</w:t>
      </w:r>
    </w:p>
    <w:p>
      <w:pPr>
        <w:keepNext w:val="0"/>
        <w:keepLines w:val="0"/>
        <w:pageBreakBefore w:val="0"/>
        <w:kinsoku/>
        <w:wordWrap/>
        <w:overflowPunct/>
        <w:topLinePunct w:val="0"/>
        <w:bidi w:val="0"/>
        <w:snapToGrid/>
        <w:spacing w:line="560" w:lineRule="exact"/>
        <w:textAlignment w:val="auto"/>
        <w:rPr>
          <w:rFonts w:hint="eastAsia" w:ascii="仿宋_GB2312" w:eastAsia="仿宋_GB2312"/>
          <w:sz w:val="32"/>
          <w:szCs w:val="32"/>
          <w:lang w:eastAsia="zh-CN"/>
        </w:rPr>
      </w:pPr>
      <w:r>
        <w:rPr>
          <w:rFonts w:hint="eastAsia" w:ascii="仿宋_GB2312" w:eastAsia="仿宋_GB2312"/>
          <w:sz w:val="32"/>
          <w:szCs w:val="32"/>
        </w:rPr>
        <w:t>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pStyle w:val="2"/>
        <w:rPr>
          <w:rFonts w:hint="eastAsia" w:ascii="仿宋_GB2312" w:eastAsia="仿宋_GB2312"/>
          <w:sz w:val="32"/>
          <w:szCs w:val="32"/>
          <w:lang w:eastAsia="zh-CN"/>
        </w:rPr>
      </w:pPr>
    </w:p>
    <w:p>
      <w:pPr>
        <w:rPr>
          <w:rFonts w:hint="eastAsia" w:ascii="仿宋_GB2312" w:eastAsia="仿宋_GB2312"/>
          <w:sz w:val="32"/>
          <w:szCs w:val="32"/>
          <w:lang w:eastAsia="zh-CN"/>
        </w:rPr>
      </w:pPr>
    </w:p>
    <w:p>
      <w:pPr>
        <w:pStyle w:val="2"/>
        <w:rPr>
          <w:rFonts w:hint="eastAsia" w:ascii="仿宋_GB2312" w:eastAsia="仿宋_GB2312"/>
          <w:sz w:val="32"/>
          <w:szCs w:val="32"/>
          <w:lang w:eastAsia="zh-CN"/>
        </w:rPr>
      </w:pPr>
    </w:p>
    <w:p>
      <w:pPr>
        <w:rPr>
          <w:rFonts w:hint="eastAsia" w:ascii="仿宋_GB2312" w:eastAsia="仿宋_GB2312"/>
          <w:sz w:val="32"/>
          <w:szCs w:val="32"/>
          <w:lang w:eastAsia="zh-CN"/>
        </w:rPr>
      </w:pPr>
    </w:p>
    <w:p>
      <w:pPr>
        <w:pStyle w:val="2"/>
        <w:rPr>
          <w:rFonts w:hint="eastAsia" w:ascii="仿宋_GB2312" w:eastAsia="仿宋_GB2312"/>
          <w:sz w:val="32"/>
          <w:szCs w:val="32"/>
          <w:lang w:eastAsia="zh-CN"/>
        </w:rPr>
      </w:pPr>
    </w:p>
    <w:p>
      <w:pPr>
        <w:rPr>
          <w:rFonts w:hint="eastAsia"/>
          <w:lang w:eastAsia="zh-CN"/>
        </w:rPr>
      </w:pP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firstLine="5123" w:firstLineChars="1601"/>
        <w:textAlignment w:val="auto"/>
        <w:rPr>
          <w:rFonts w:hint="eastAsia" w:ascii="仿宋_GB2312" w:hAnsi="仿宋" w:eastAsia="仿宋_GB2312"/>
          <w:kern w:val="0"/>
          <w:sz w:val="32"/>
          <w:szCs w:val="32"/>
          <w:lang w:eastAsia="zh-CN"/>
        </w:rPr>
      </w:pPr>
      <w:r>
        <w:rPr>
          <w:rFonts w:hint="eastAsia" w:ascii="仿宋_GB2312" w:hAnsi="仿宋" w:eastAsia="仿宋_GB2312"/>
          <w:kern w:val="0"/>
          <w:sz w:val="32"/>
          <w:szCs w:val="32"/>
          <w:lang w:eastAsia="zh-CN"/>
        </w:rPr>
        <w:t>洪洞县退役军人事务局</w:t>
      </w:r>
    </w:p>
    <w:p>
      <w:pPr>
        <w:keepNext w:val="0"/>
        <w:keepLines w:val="0"/>
        <w:pageBreakBefore w:val="0"/>
        <w:widowControl/>
        <w:kinsoku/>
        <w:wordWrap/>
        <w:overflowPunct/>
        <w:topLinePunct w:val="0"/>
        <w:bidi w:val="0"/>
        <w:snapToGrid/>
        <w:spacing w:line="560" w:lineRule="exact"/>
        <w:ind w:firstLine="5443" w:firstLineChars="1701"/>
        <w:textAlignment w:val="auto"/>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2022年2月16日</w:t>
      </w:r>
    </w:p>
    <w:sectPr>
      <w:headerReference r:id="rId3" w:type="default"/>
      <w:footerReference r:id="rId4" w:type="default"/>
      <w:pgSz w:w="11906" w:h="16838"/>
      <w:pgMar w:top="1984" w:right="1417" w:bottom="1701"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otum">
    <w:altName w:val="Malgun Gothic"/>
    <w:panose1 w:val="020B0600000101010101"/>
    <w:charset w:val="81"/>
    <w:family w:val="swiss"/>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ACF3C50" w:usb2="00000016" w:usb3="00000000" w:csb0="0004001F"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137" w:h="777" w:hRule="exact" w:wrap="around" w:vAnchor="text" w:hAnchor="page" w:x="9140" w:y="-189"/>
      <w:rPr>
        <w:rStyle w:val="7"/>
        <w:rFonts w:hint="eastAsia"/>
        <w:sz w:val="28"/>
        <w:szCs w:val="28"/>
      </w:rPr>
    </w:pPr>
    <w:r>
      <w:rPr>
        <w:rStyle w:val="7"/>
        <w:rFonts w:hint="eastAsia"/>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2</w:t>
    </w:r>
    <w:r>
      <w:rPr>
        <w:sz w:val="28"/>
        <w:szCs w:val="28"/>
      </w:rPr>
      <w:fldChar w:fldCharType="end"/>
    </w:r>
    <w:r>
      <w:rPr>
        <w:rStyle w:val="7"/>
        <w:rFonts w:hint="eastAsia"/>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14F2BF"/>
    <w:multiLevelType w:val="multilevel"/>
    <w:tmpl w:val="B814F2BF"/>
    <w:lvl w:ilvl="0" w:tentative="0">
      <w:start w:val="3"/>
      <w:numFmt w:val="decimal"/>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A7D56"/>
    <w:rsid w:val="00D6159A"/>
    <w:rsid w:val="039B14A9"/>
    <w:rsid w:val="0459223B"/>
    <w:rsid w:val="04BB312A"/>
    <w:rsid w:val="05666FD6"/>
    <w:rsid w:val="058425BF"/>
    <w:rsid w:val="076F5180"/>
    <w:rsid w:val="090F7E74"/>
    <w:rsid w:val="09CB009E"/>
    <w:rsid w:val="09D2640C"/>
    <w:rsid w:val="0A5711E0"/>
    <w:rsid w:val="0D906ACA"/>
    <w:rsid w:val="123B45BA"/>
    <w:rsid w:val="125644C8"/>
    <w:rsid w:val="1338538E"/>
    <w:rsid w:val="1402612B"/>
    <w:rsid w:val="150377D6"/>
    <w:rsid w:val="1A156868"/>
    <w:rsid w:val="1A2E77A0"/>
    <w:rsid w:val="1AF1562C"/>
    <w:rsid w:val="1BD03214"/>
    <w:rsid w:val="1BD83EDC"/>
    <w:rsid w:val="1BE96FD7"/>
    <w:rsid w:val="1D747F9F"/>
    <w:rsid w:val="1EAA1D27"/>
    <w:rsid w:val="1F025999"/>
    <w:rsid w:val="20132A48"/>
    <w:rsid w:val="202E1703"/>
    <w:rsid w:val="21865C7D"/>
    <w:rsid w:val="249935AC"/>
    <w:rsid w:val="25087B03"/>
    <w:rsid w:val="25F13E85"/>
    <w:rsid w:val="2694227D"/>
    <w:rsid w:val="27D25752"/>
    <w:rsid w:val="2817461F"/>
    <w:rsid w:val="2A3637EA"/>
    <w:rsid w:val="2A933B86"/>
    <w:rsid w:val="2AE14AE5"/>
    <w:rsid w:val="2B8C58C3"/>
    <w:rsid w:val="2BBA7D56"/>
    <w:rsid w:val="2FAD43C8"/>
    <w:rsid w:val="30794F40"/>
    <w:rsid w:val="315E0372"/>
    <w:rsid w:val="31624736"/>
    <w:rsid w:val="317526BB"/>
    <w:rsid w:val="344261CB"/>
    <w:rsid w:val="35BD3B11"/>
    <w:rsid w:val="386A3E41"/>
    <w:rsid w:val="39F7485A"/>
    <w:rsid w:val="3CFB0228"/>
    <w:rsid w:val="3D7B6CE9"/>
    <w:rsid w:val="3E041E40"/>
    <w:rsid w:val="3E2469DF"/>
    <w:rsid w:val="3ECE0F53"/>
    <w:rsid w:val="3FB12298"/>
    <w:rsid w:val="41A03BBE"/>
    <w:rsid w:val="42934C20"/>
    <w:rsid w:val="43ED033D"/>
    <w:rsid w:val="440B65FC"/>
    <w:rsid w:val="45976B6B"/>
    <w:rsid w:val="45F1061E"/>
    <w:rsid w:val="464B379F"/>
    <w:rsid w:val="46AA048D"/>
    <w:rsid w:val="46BC1C66"/>
    <w:rsid w:val="46FF09C5"/>
    <w:rsid w:val="48EE1D85"/>
    <w:rsid w:val="4AD65E76"/>
    <w:rsid w:val="4C0A7443"/>
    <w:rsid w:val="4C3E7CE0"/>
    <w:rsid w:val="4D0A58C9"/>
    <w:rsid w:val="4D766F35"/>
    <w:rsid w:val="4F7D1CE5"/>
    <w:rsid w:val="514D455B"/>
    <w:rsid w:val="520A01AF"/>
    <w:rsid w:val="52BB7ABA"/>
    <w:rsid w:val="54034159"/>
    <w:rsid w:val="549622AF"/>
    <w:rsid w:val="54971FF8"/>
    <w:rsid w:val="570B13E4"/>
    <w:rsid w:val="5A8A0856"/>
    <w:rsid w:val="5B701481"/>
    <w:rsid w:val="5B8D6168"/>
    <w:rsid w:val="5F2272D9"/>
    <w:rsid w:val="5FA43FF3"/>
    <w:rsid w:val="60466296"/>
    <w:rsid w:val="60C40D7E"/>
    <w:rsid w:val="62965032"/>
    <w:rsid w:val="62C5142A"/>
    <w:rsid w:val="6381303F"/>
    <w:rsid w:val="63E65E72"/>
    <w:rsid w:val="66806E3C"/>
    <w:rsid w:val="695967E1"/>
    <w:rsid w:val="69A12092"/>
    <w:rsid w:val="69FC3F22"/>
    <w:rsid w:val="6E164A19"/>
    <w:rsid w:val="6F1352D6"/>
    <w:rsid w:val="6FB8235D"/>
    <w:rsid w:val="70BE31A3"/>
    <w:rsid w:val="71A20A99"/>
    <w:rsid w:val="71C52374"/>
    <w:rsid w:val="73047AD9"/>
    <w:rsid w:val="73C1130A"/>
    <w:rsid w:val="749441D3"/>
    <w:rsid w:val="75331100"/>
    <w:rsid w:val="75550146"/>
    <w:rsid w:val="755B61B3"/>
    <w:rsid w:val="773A326A"/>
    <w:rsid w:val="77BB1F1A"/>
    <w:rsid w:val="77F96DFB"/>
    <w:rsid w:val="792B49E5"/>
    <w:rsid w:val="7B7E2DBB"/>
    <w:rsid w:val="7C072B98"/>
    <w:rsid w:val="7CB84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p0"/>
    <w:basedOn w:val="1"/>
    <w:qFormat/>
    <w:uiPriority w:val="0"/>
    <w:pPr>
      <w:keepNext w:val="0"/>
      <w:keepLines w:val="0"/>
      <w:widowControl/>
      <w:suppressLineNumbers w:val="0"/>
      <w:spacing w:before="0" w:beforeAutospacing="0" w:after="0" w:afterAutospacing="0" w:line="365" w:lineRule="atLeast"/>
      <w:ind w:left="1" w:right="0"/>
      <w:jc w:val="both"/>
    </w:pPr>
    <w:rPr>
      <w:rFonts w:hint="default" w:ascii="Calibri" w:hAnsi="Calibri" w:eastAsia="宋体" w:cs="Times New Roman"/>
      <w:kern w:val="0"/>
      <w:sz w:val="20"/>
      <w:szCs w:val="20"/>
      <w:lang w:val="en-US" w:eastAsia="zh-CN" w:bidi="ar"/>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颖火虫</cp:lastModifiedBy>
  <cp:lastPrinted>2022-02-21T08:46:00Z</cp:lastPrinted>
  <dcterms:modified xsi:type="dcterms:W3CDTF">2022-02-22T08:04:09Z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939B5C51BFC54209A732D806537EEFF2</vt:lpwstr>
  </property>
</Properties>
</file>