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val="en-US" w:eastAsia="zh-CN"/>
        </w:rPr>
        <w:t>洪洞县明姜镇中心卫生院圣王分院</w:t>
      </w: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Dotum" w:eastAsia="方正小标宋简体" w:cs="Dotum"/>
          <w:b w:val="0"/>
          <w:bCs w:val="0"/>
          <w:kern w:val="0"/>
          <w:sz w:val="44"/>
          <w:szCs w:val="44"/>
        </w:rPr>
      </w:pP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6"/>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val="en-US" w:eastAsia="zh-CN"/>
        </w:rPr>
        <w:t>十三、</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eastAsia="仿宋_GB2312"/>
          <w:sz w:val="32"/>
          <w:szCs w:val="32"/>
        </w:rPr>
        <w:t>2022年政府</w:t>
      </w:r>
      <w:r>
        <w:rPr>
          <w:rFonts w:hint="eastAsia" w:ascii="仿宋_GB2312" w:eastAsia="仿宋_GB2312"/>
          <w:sz w:val="32"/>
          <w:szCs w:val="32"/>
          <w:lang w:val="en-US" w:eastAsia="zh-CN"/>
        </w:rPr>
        <w:t>性基金</w:t>
      </w:r>
      <w:r>
        <w:rPr>
          <w:rFonts w:hint="eastAsia" w:ascii="仿宋_GB2312" w:eastAsia="仿宋_GB2312"/>
          <w:sz w:val="32"/>
          <w:szCs w:val="32"/>
        </w:rPr>
        <w:t>预</w:t>
      </w:r>
      <w:r>
        <w:rPr>
          <w:rFonts w:hint="eastAsia" w:ascii="仿宋_GB2312" w:eastAsia="仿宋_GB2312"/>
          <w:sz w:val="32"/>
          <w:szCs w:val="32"/>
          <w:lang w:val="en-US" w:eastAsia="zh-CN"/>
        </w:rPr>
        <w:t>算</w:t>
      </w:r>
      <w:r>
        <w:rPr>
          <w:rFonts w:hint="eastAsia" w:ascii="仿宋_GB2312" w:eastAsia="仿宋_GB2312"/>
          <w:sz w:val="32"/>
          <w:szCs w:val="32"/>
        </w:rPr>
        <w:t>收入预算表</w:t>
      </w:r>
    </w:p>
    <w:p>
      <w:pPr>
        <w:pStyle w:val="6"/>
        <w:numPr>
          <w:ilvl w:val="0"/>
          <w:numId w:val="0"/>
        </w:numPr>
        <w:ind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十四、</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eastAsia="仿宋_GB2312"/>
          <w:sz w:val="32"/>
          <w:szCs w:val="32"/>
        </w:rPr>
        <w:t>2022年国有资本经营预算收支预算表</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Dotum" w:eastAsia="方正小标宋简体" w:cs="Dotum"/>
          <w:b w:val="0"/>
          <w:bCs w:val="0"/>
          <w:kern w:val="0"/>
          <w:sz w:val="44"/>
          <w:szCs w:val="44"/>
        </w:rPr>
      </w:pPr>
    </w:p>
    <w:p>
      <w:pPr>
        <w:pageBreakBefore w:val="0"/>
        <w:kinsoku/>
        <w:wordWrap/>
        <w:overflowPunct/>
        <w:topLinePunct w:val="0"/>
        <w:bidi w:val="0"/>
        <w:snapToGrid/>
        <w:spacing w:line="560" w:lineRule="exact"/>
        <w:ind w:left="0" w:leftChars="0" w:firstLine="420" w:firstLineChars="200"/>
        <w:textAlignment w:val="auto"/>
      </w:pPr>
      <w:r>
        <w:br w:type="page"/>
      </w:r>
    </w:p>
    <w:p>
      <w:pPr>
        <w:keepNext w:val="0"/>
        <w:keepLines w:val="0"/>
        <w:pageBreakBefore w:val="0"/>
        <w:widowControl/>
        <w:kinsoku/>
        <w:wordWrap/>
        <w:overflowPunct/>
        <w:topLinePunct w:val="0"/>
        <w:autoSpaceDE/>
        <w:autoSpaceDN/>
        <w:bidi w:val="0"/>
        <w:adjustRightInd/>
        <w:snapToGrid/>
        <w:spacing w:line="530" w:lineRule="exact"/>
        <w:ind w:left="0" w:leftChars="0" w:firstLine="880" w:firstLineChars="200"/>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val="en-US" w:eastAsia="zh-CN"/>
        </w:rPr>
        <w:t>洪洞县明姜镇中心卫生院圣王分院</w:t>
      </w: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keepNext w:val="0"/>
        <w:keepLines w:val="0"/>
        <w:pageBreakBefore w:val="0"/>
        <w:numPr>
          <w:ilvl w:val="0"/>
          <w:numId w:val="0"/>
        </w:numPr>
        <w:kinsoku/>
        <w:wordWrap/>
        <w:overflowPunct/>
        <w:topLinePunct w:val="0"/>
        <w:autoSpaceDE/>
        <w:autoSpaceDN/>
        <w:bidi w:val="0"/>
        <w:adjustRightInd/>
        <w:snapToGrid/>
        <w:spacing w:line="530" w:lineRule="exact"/>
        <w:jc w:val="both"/>
        <w:textAlignment w:val="auto"/>
        <w:rPr>
          <w:rFonts w:hint="eastAsia" w:ascii="方正小标宋简体" w:hAnsi="楷体" w:eastAsia="方正小标宋简体"/>
          <w:kern w:val="0"/>
          <w:sz w:val="36"/>
          <w:szCs w:val="36"/>
        </w:rPr>
      </w:pPr>
    </w:p>
    <w:p>
      <w:pPr>
        <w:keepNext w:val="0"/>
        <w:keepLines w:val="0"/>
        <w:pageBreakBefore w:val="0"/>
        <w:numPr>
          <w:ilvl w:val="0"/>
          <w:numId w:val="1"/>
        </w:numPr>
        <w:kinsoku/>
        <w:wordWrap/>
        <w:overflowPunct/>
        <w:topLinePunct w:val="0"/>
        <w:autoSpaceDE/>
        <w:autoSpaceDN/>
        <w:bidi w:val="0"/>
        <w:adjustRightInd/>
        <w:snapToGrid/>
        <w:spacing w:line="530" w:lineRule="exact"/>
        <w:ind w:left="0" w:leftChars="0" w:firstLine="720" w:firstLineChars="200"/>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 xml:space="preserve"> 部门概况</w:t>
      </w:r>
    </w:p>
    <w:p>
      <w:pPr>
        <w:keepNext w:val="0"/>
        <w:keepLines w:val="0"/>
        <w:pageBreakBefore w:val="0"/>
        <w:widowControl/>
        <w:numPr>
          <w:ilvl w:val="0"/>
          <w:numId w:val="2"/>
        </w:numPr>
        <w:kinsoku/>
        <w:wordWrap/>
        <w:overflowPunct/>
        <w:topLinePunct w:val="0"/>
        <w:autoSpaceDE/>
        <w:autoSpaceDN/>
        <w:bidi w:val="0"/>
        <w:adjustRightInd/>
        <w:snapToGrid/>
        <w:spacing w:line="530" w:lineRule="exact"/>
        <w:ind w:left="0" w:leftChars="0" w:firstLine="640" w:firstLineChars="200"/>
        <w:textAlignment w:val="auto"/>
        <w:rPr>
          <w:rFonts w:hint="eastAsia" w:ascii="黑体" w:hAnsi="楷体" w:eastAsia="黑体"/>
          <w:kern w:val="0"/>
          <w:sz w:val="32"/>
          <w:szCs w:val="32"/>
        </w:rPr>
      </w:pPr>
      <w:r>
        <w:rPr>
          <w:rFonts w:hint="eastAsia" w:ascii="黑体" w:hAnsi="楷体" w:eastAsia="黑体"/>
          <w:kern w:val="0"/>
          <w:sz w:val="32"/>
          <w:szCs w:val="32"/>
        </w:rPr>
        <w:t>主要职能</w:t>
      </w:r>
    </w:p>
    <w:p>
      <w:pPr>
        <w:keepNext w:val="0"/>
        <w:keepLines w:val="0"/>
        <w:pageBreakBefore w:val="0"/>
        <w:widowControl/>
        <w:kinsoku/>
        <w:wordWrap/>
        <w:overflowPunct/>
        <w:topLinePunct w:val="0"/>
        <w:autoSpaceDE/>
        <w:autoSpaceDN/>
        <w:bidi w:val="0"/>
        <w:adjustRightInd/>
        <w:snapToGrid/>
        <w:spacing w:line="53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（1）使用农村适宜医疗技术和中医药技术，正确处理常见病、多发病，对疑难重症进行恰当的处理并转诊。承担乡村现场应急救护、转诊服务和康复服务。落实国家基本药物制度，加强卫生院的全面建设。</w:t>
      </w:r>
    </w:p>
    <w:p>
      <w:pPr>
        <w:keepNext w:val="0"/>
        <w:keepLines w:val="0"/>
        <w:pageBreakBefore w:val="0"/>
        <w:widowControl/>
        <w:kinsoku/>
        <w:wordWrap/>
        <w:overflowPunct/>
        <w:topLinePunct w:val="0"/>
        <w:autoSpaceDE/>
        <w:autoSpaceDN/>
        <w:bidi w:val="0"/>
        <w:adjustRightInd/>
        <w:snapToGrid/>
        <w:spacing w:line="53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（2）承担辖区居民基本医疗服务和国家基本公共卫生服务。</w:t>
      </w:r>
    </w:p>
    <w:p>
      <w:pPr>
        <w:keepNext w:val="0"/>
        <w:keepLines w:val="0"/>
        <w:pageBreakBefore w:val="0"/>
        <w:widowControl/>
        <w:kinsoku/>
        <w:wordWrap/>
        <w:overflowPunct/>
        <w:topLinePunct w:val="0"/>
        <w:autoSpaceDE/>
        <w:autoSpaceDN/>
        <w:bidi w:val="0"/>
        <w:adjustRightInd/>
        <w:snapToGrid/>
        <w:spacing w:line="53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（3）在镇政府和上级卫生行政部门领导下，依据本地社会经济发展规划，协助制定和实施本院的初级卫生规划。           </w:t>
      </w:r>
    </w:p>
    <w:p>
      <w:pPr>
        <w:keepNext w:val="0"/>
        <w:keepLines w:val="0"/>
        <w:pageBreakBefore w:val="0"/>
        <w:widowControl/>
        <w:kinsoku/>
        <w:wordWrap/>
        <w:overflowPunct/>
        <w:topLinePunct w:val="0"/>
        <w:autoSpaceDE/>
        <w:autoSpaceDN/>
        <w:bidi w:val="0"/>
        <w:adjustRightInd/>
        <w:snapToGrid/>
        <w:spacing w:line="53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（4）贯彻执行国家各种卫生法规，对本辖区内有关行业实行监督管理。</w:t>
      </w:r>
    </w:p>
    <w:p>
      <w:pPr>
        <w:keepNext w:val="0"/>
        <w:keepLines w:val="0"/>
        <w:pageBreakBefore w:val="0"/>
        <w:widowControl/>
        <w:kinsoku/>
        <w:wordWrap/>
        <w:overflowPunct/>
        <w:topLinePunct w:val="0"/>
        <w:autoSpaceDE/>
        <w:autoSpaceDN/>
        <w:bidi w:val="0"/>
        <w:adjustRightInd/>
        <w:snapToGrid/>
        <w:spacing w:line="53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（5）负责本辖区内村级卫生服务站的管理和培训工作。</w:t>
      </w:r>
    </w:p>
    <w:p>
      <w:pPr>
        <w:keepNext w:val="0"/>
        <w:keepLines w:val="0"/>
        <w:pageBreakBefore w:val="0"/>
        <w:widowControl/>
        <w:numPr>
          <w:ilvl w:val="0"/>
          <w:numId w:val="2"/>
        </w:numPr>
        <w:kinsoku/>
        <w:wordWrap/>
        <w:overflowPunct/>
        <w:topLinePunct w:val="0"/>
        <w:autoSpaceDE/>
        <w:autoSpaceDN/>
        <w:bidi w:val="0"/>
        <w:adjustRightInd/>
        <w:snapToGrid/>
        <w:spacing w:line="530" w:lineRule="exact"/>
        <w:ind w:left="0" w:leftChars="0" w:firstLine="640" w:firstLineChars="200"/>
        <w:textAlignment w:val="auto"/>
        <w:rPr>
          <w:rFonts w:hint="eastAsia" w:ascii="黑体" w:hAnsi="楷体" w:eastAsia="黑体"/>
          <w:kern w:val="0"/>
          <w:sz w:val="32"/>
          <w:szCs w:val="32"/>
        </w:rPr>
      </w:pPr>
      <w:r>
        <w:rPr>
          <w:rFonts w:hint="eastAsia" w:ascii="黑体" w:hAnsi="楷体" w:eastAsia="黑体"/>
          <w:kern w:val="0"/>
          <w:sz w:val="32"/>
          <w:szCs w:val="32"/>
        </w:rPr>
        <w:t>部门机构设置及预算单位构成情况</w:t>
      </w:r>
    </w:p>
    <w:p>
      <w:pPr>
        <w:keepNext w:val="0"/>
        <w:keepLines w:val="0"/>
        <w:pageBreakBefore w:val="0"/>
        <w:numPr>
          <w:ilvl w:val="0"/>
          <w:numId w:val="0"/>
        </w:numPr>
        <w:kinsoku/>
        <w:wordWrap/>
        <w:overflowPunct/>
        <w:topLinePunct w:val="0"/>
        <w:autoSpaceDE/>
        <w:autoSpaceDN/>
        <w:bidi w:val="0"/>
        <w:adjustRightInd/>
        <w:snapToGrid/>
        <w:spacing w:line="530" w:lineRule="exact"/>
        <w:ind w:firstLine="320" w:firstLineChars="100"/>
        <w:textAlignment w:val="auto"/>
        <w:rPr>
          <w:rFonts w:hint="eastAsia"/>
        </w:rPr>
      </w:pPr>
      <w:r>
        <w:rPr>
          <w:rFonts w:hint="eastAsia" w:ascii="仿宋_GB2312" w:hAnsi="Times New Roman" w:eastAsia="仿宋_GB2312" w:cs="仿宋_GB2312"/>
          <w:kern w:val="2"/>
          <w:sz w:val="32"/>
          <w:szCs w:val="32"/>
          <w:lang w:val="en-US" w:eastAsia="zh-CN" w:bidi="ar"/>
        </w:rPr>
        <w:t>1、洪洞县明姜镇中心卫生院圣王分院</w:t>
      </w:r>
      <w:r>
        <w:rPr>
          <w:rFonts w:hint="eastAsia" w:ascii="仿宋_GB2312" w:eastAsia="仿宋_GB2312"/>
          <w:sz w:val="32"/>
          <w:szCs w:val="32"/>
        </w:rPr>
        <w:t>，在</w:t>
      </w:r>
      <w:r>
        <w:rPr>
          <w:rFonts w:hint="eastAsia" w:ascii="仿宋_GB2312" w:eastAsia="仿宋_GB2312"/>
          <w:sz w:val="32"/>
          <w:szCs w:val="32"/>
          <w:lang w:val="en-US" w:eastAsia="zh-CN"/>
        </w:rPr>
        <w:t>明姜</w:t>
      </w:r>
      <w:r>
        <w:rPr>
          <w:rFonts w:hint="eastAsia" w:ascii="仿宋_GB2312" w:eastAsia="仿宋_GB2312"/>
          <w:sz w:val="32"/>
          <w:szCs w:val="32"/>
        </w:rPr>
        <w:t>镇</w:t>
      </w:r>
      <w:r>
        <w:rPr>
          <w:rFonts w:hint="eastAsia" w:ascii="仿宋_GB2312" w:eastAsia="仿宋_GB2312"/>
          <w:sz w:val="32"/>
          <w:szCs w:val="32"/>
          <w:lang w:val="en-US" w:eastAsia="zh-CN"/>
        </w:rPr>
        <w:t>圣王</w:t>
      </w:r>
      <w:r>
        <w:rPr>
          <w:rFonts w:hint="eastAsia" w:ascii="仿宋_GB2312" w:eastAsia="仿宋_GB2312"/>
          <w:sz w:val="32"/>
          <w:szCs w:val="32"/>
        </w:rPr>
        <w:t>村，现有</w:t>
      </w:r>
      <w:r>
        <w:rPr>
          <w:rFonts w:hint="eastAsia" w:ascii="仿宋_GB2312" w:eastAsia="仿宋_GB2312"/>
          <w:sz w:val="32"/>
          <w:szCs w:val="32"/>
          <w:lang w:val="en-US" w:eastAsia="zh-CN"/>
        </w:rPr>
        <w:t>在编在岗</w:t>
      </w:r>
      <w:r>
        <w:rPr>
          <w:rFonts w:hint="eastAsia" w:ascii="仿宋_GB2312" w:eastAsia="仿宋_GB2312"/>
          <w:sz w:val="32"/>
          <w:szCs w:val="32"/>
        </w:rPr>
        <w:t>职工</w:t>
      </w:r>
      <w:r>
        <w:rPr>
          <w:rFonts w:hint="eastAsia" w:ascii="仿宋_GB2312" w:eastAsia="仿宋_GB2312"/>
          <w:sz w:val="32"/>
          <w:szCs w:val="32"/>
          <w:lang w:val="en-US" w:eastAsia="zh-CN"/>
        </w:rPr>
        <w:t>7</w:t>
      </w:r>
      <w:r>
        <w:rPr>
          <w:rFonts w:hint="eastAsia" w:ascii="仿宋_GB2312" w:eastAsia="仿宋_GB2312"/>
          <w:sz w:val="32"/>
          <w:szCs w:val="32"/>
        </w:rPr>
        <w:t>人，</w:t>
      </w:r>
      <w:r>
        <w:rPr>
          <w:rFonts w:hint="eastAsia" w:ascii="仿宋_GB2312" w:eastAsia="仿宋_GB2312"/>
          <w:sz w:val="32"/>
          <w:szCs w:val="32"/>
          <w:lang w:val="en-US" w:eastAsia="zh-CN"/>
        </w:rPr>
        <w:t>其中</w:t>
      </w:r>
      <w:r>
        <w:rPr>
          <w:rFonts w:hint="eastAsia" w:ascii="仿宋_GB2312" w:hAnsi="楷体" w:eastAsia="仿宋_GB2312"/>
          <w:color w:val="000000" w:themeColor="text1"/>
          <w:kern w:val="0"/>
          <w:sz w:val="32"/>
          <w:szCs w:val="32"/>
          <w:lang w:val="en-US" w:eastAsia="zh-CN"/>
          <w14:textFill>
            <w14:solidFill>
              <w14:schemeClr w14:val="tx1"/>
            </w14:solidFill>
          </w14:textFill>
        </w:rPr>
        <w:t>助理级6人，中级工1人。</w:t>
      </w:r>
      <w:r>
        <w:rPr>
          <w:rFonts w:hint="eastAsia" w:ascii="仿宋_GB2312" w:eastAsia="仿宋_GB2312"/>
          <w:sz w:val="32"/>
          <w:szCs w:val="32"/>
        </w:rPr>
        <w:t>内设科室1</w:t>
      </w:r>
      <w:r>
        <w:rPr>
          <w:rFonts w:hint="eastAsia" w:ascii="仿宋_GB2312" w:eastAsia="仿宋_GB2312"/>
          <w:sz w:val="32"/>
          <w:szCs w:val="32"/>
          <w:lang w:val="en-US" w:eastAsia="zh-CN"/>
        </w:rPr>
        <w:t>3</w:t>
      </w:r>
      <w:r>
        <w:rPr>
          <w:rFonts w:hint="eastAsia" w:ascii="仿宋_GB2312" w:eastAsia="仿宋_GB2312"/>
          <w:sz w:val="32"/>
          <w:szCs w:val="32"/>
        </w:rPr>
        <w:t>个，</w:t>
      </w:r>
      <w:r>
        <w:rPr>
          <w:rFonts w:hint="eastAsia" w:ascii="仿宋_GB2312" w:eastAsia="仿宋_GB2312"/>
          <w:sz w:val="32"/>
          <w:szCs w:val="32"/>
          <w:lang w:val="en-US" w:eastAsia="zh-CN"/>
        </w:rPr>
        <w:t>其中包括</w:t>
      </w:r>
      <w:r>
        <w:rPr>
          <w:rFonts w:hint="eastAsia" w:ascii="仿宋_GB2312" w:eastAsia="仿宋_GB2312"/>
          <w:color w:val="auto"/>
          <w:sz w:val="32"/>
          <w:szCs w:val="32"/>
        </w:rPr>
        <w:t>临床科室：内科、外科、儿科、中医科、妇产科。辅助科室：检验科、心电B超室、中西药房、</w:t>
      </w:r>
      <w:r>
        <w:rPr>
          <w:rFonts w:hint="eastAsia" w:ascii="仿宋_GB2312" w:eastAsia="仿宋_GB2312"/>
          <w:color w:val="auto"/>
          <w:sz w:val="32"/>
          <w:szCs w:val="32"/>
          <w:lang w:val="en-US" w:eastAsia="zh-CN"/>
        </w:rPr>
        <w:t>医保科</w:t>
      </w:r>
      <w:r>
        <w:rPr>
          <w:rFonts w:hint="eastAsia" w:ascii="仿宋_GB2312" w:eastAsia="仿宋_GB2312"/>
          <w:color w:val="auto"/>
          <w:sz w:val="32"/>
          <w:szCs w:val="32"/>
        </w:rPr>
        <w:t>、财务室、防疫科、儿保科、妇保科等。</w:t>
      </w:r>
      <w:r>
        <w:rPr>
          <w:rFonts w:hint="eastAsia" w:ascii="仿宋_GB2312" w:eastAsia="仿宋_GB2312"/>
          <w:sz w:val="32"/>
          <w:szCs w:val="32"/>
          <w:lang w:val="en-US" w:eastAsia="zh-CN"/>
        </w:rPr>
        <w:t>我院</w:t>
      </w:r>
      <w:r>
        <w:rPr>
          <w:rFonts w:hint="eastAsia" w:ascii="仿宋_GB2312" w:eastAsia="仿宋_GB2312"/>
          <w:sz w:val="32"/>
          <w:szCs w:val="32"/>
        </w:rPr>
        <w:t>年接诊</w:t>
      </w:r>
      <w:r>
        <w:rPr>
          <w:rFonts w:hint="eastAsia" w:ascii="仿宋_GB2312" w:eastAsia="仿宋_GB2312"/>
          <w:sz w:val="32"/>
          <w:szCs w:val="32"/>
          <w:lang w:val="en-US" w:eastAsia="zh-CN"/>
        </w:rPr>
        <w:t>1400</w:t>
      </w:r>
      <w:r>
        <w:rPr>
          <w:rFonts w:hint="eastAsia" w:ascii="仿宋_GB2312" w:eastAsia="仿宋_GB2312"/>
          <w:sz w:val="32"/>
          <w:szCs w:val="32"/>
        </w:rPr>
        <w:t>余人次，主要医疗设备有：心电图机、B超机、全自动生化分析仪、血球分析仪、</w:t>
      </w:r>
      <w:r>
        <w:rPr>
          <w:rFonts w:hint="eastAsia" w:ascii="仿宋_GB2312" w:eastAsia="仿宋_GB2312"/>
          <w:sz w:val="32"/>
          <w:szCs w:val="32"/>
          <w:lang w:val="en-US" w:eastAsia="zh-CN"/>
        </w:rPr>
        <w:t>离心机、</w:t>
      </w:r>
      <w:r>
        <w:rPr>
          <w:rFonts w:hint="eastAsia" w:ascii="仿宋_GB2312" w:eastAsia="仿宋_GB2312"/>
          <w:sz w:val="32"/>
          <w:szCs w:val="32"/>
        </w:rPr>
        <w:t>尿液分析仪等仪器。为科学诊治创造了较好条件。现有床</w:t>
      </w:r>
      <w:r>
        <w:rPr>
          <w:rFonts w:hint="eastAsia" w:ascii="仿宋_GB2312" w:eastAsia="仿宋_GB2312"/>
          <w:sz w:val="32"/>
          <w:szCs w:val="32"/>
          <w:lang w:val="en-US" w:eastAsia="zh-CN"/>
        </w:rPr>
        <w:t>位6</w:t>
      </w:r>
      <w:r>
        <w:rPr>
          <w:rFonts w:hint="eastAsia" w:ascii="仿宋_GB2312" w:eastAsia="仿宋_GB2312"/>
          <w:sz w:val="32"/>
          <w:szCs w:val="32"/>
        </w:rPr>
        <w:t>张，承担着全镇</w:t>
      </w:r>
      <w:r>
        <w:rPr>
          <w:rFonts w:hint="eastAsia" w:ascii="仿宋_GB2312" w:eastAsia="仿宋_GB2312"/>
          <w:sz w:val="32"/>
          <w:szCs w:val="32"/>
          <w:lang w:val="en-US" w:eastAsia="zh-CN"/>
        </w:rPr>
        <w:t>9</w:t>
      </w:r>
      <w:r>
        <w:rPr>
          <w:rFonts w:hint="eastAsia" w:ascii="仿宋_GB2312" w:eastAsia="仿宋_GB2312"/>
          <w:sz w:val="32"/>
          <w:szCs w:val="32"/>
        </w:rPr>
        <w:t>千余人的基本医疗，预防保健，公共卫生服务等任务。</w:t>
      </w:r>
    </w:p>
    <w:p>
      <w:pPr>
        <w:widowControl/>
        <w:numPr>
          <w:ilvl w:val="0"/>
          <w:numId w:val="0"/>
        </w:numPr>
        <w:spacing w:line="560" w:lineRule="exact"/>
        <w:ind w:firstLine="320" w:firstLineChars="1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从预算单位构成看，纳入本部门202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年部门汇总预算</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编制范围的预算单位共计</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个，具体包括：</w:t>
      </w:r>
      <w:r>
        <w:rPr>
          <w:rFonts w:hint="eastAsia" w:ascii="仿宋_GB2312" w:hAnsi="宋体" w:eastAsia="仿宋_GB2312" w:cs="宋体"/>
          <w:kern w:val="0"/>
          <w:sz w:val="32"/>
          <w:szCs w:val="32"/>
          <w:lang w:eastAsia="zh-CN"/>
        </w:rPr>
        <w:t>洪洞县</w:t>
      </w:r>
      <w:r>
        <w:rPr>
          <w:rFonts w:hint="eastAsia" w:ascii="仿宋_GB2312" w:hAnsi="宋体" w:eastAsia="仿宋_GB2312" w:cs="宋体"/>
          <w:kern w:val="0"/>
          <w:sz w:val="32"/>
          <w:szCs w:val="32"/>
          <w:lang w:val="en-US" w:eastAsia="zh-CN"/>
        </w:rPr>
        <w:t>明姜镇中心卫生院圣王分院本级</w:t>
      </w:r>
    </w:p>
    <w:p>
      <w:pPr>
        <w:keepNext w:val="0"/>
        <w:keepLines w:val="0"/>
        <w:pageBreakBefore w:val="0"/>
        <w:kinsoku/>
        <w:wordWrap/>
        <w:overflowPunct/>
        <w:topLinePunct w:val="0"/>
        <w:autoSpaceDE/>
        <w:autoSpaceDN/>
        <w:bidi w:val="0"/>
        <w:adjustRightInd/>
        <w:snapToGrid/>
        <w:spacing w:line="530" w:lineRule="exact"/>
        <w:ind w:firstLine="320" w:firstLineChars="1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本院隶属洪洞县卫</w:t>
      </w:r>
      <w:r>
        <w:rPr>
          <w:rFonts w:hint="eastAsia" w:ascii="仿宋_GB2312" w:eastAsia="仿宋_GB2312"/>
          <w:sz w:val="32"/>
          <w:szCs w:val="32"/>
          <w:lang w:val="en-US" w:eastAsia="zh-CN"/>
        </w:rPr>
        <w:t>生健康和体育局</w:t>
      </w:r>
      <w:r>
        <w:rPr>
          <w:rFonts w:hint="eastAsia" w:ascii="仿宋_GB2312" w:eastAsia="仿宋_GB2312"/>
          <w:sz w:val="32"/>
          <w:szCs w:val="32"/>
        </w:rPr>
        <w:t>，为公益性事业法人单位，</w:t>
      </w:r>
      <w:r>
        <w:rPr>
          <w:rFonts w:hint="eastAsia" w:ascii="仿宋_GB2312" w:eastAsia="仿宋_GB2312"/>
          <w:sz w:val="32"/>
          <w:szCs w:val="32"/>
          <w:lang w:val="en-US" w:eastAsia="zh-CN"/>
        </w:rPr>
        <w:t>医保定点卫生院</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napToGrid/>
        <w:spacing w:line="530" w:lineRule="exact"/>
        <w:ind w:left="0" w:leftChars="0" w:firstLine="640" w:firstLineChars="200"/>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keepNext w:val="0"/>
        <w:keepLines w:val="0"/>
        <w:pageBreakBefore w:val="0"/>
        <w:widowControl/>
        <w:kinsoku/>
        <w:wordWrap/>
        <w:overflowPunct/>
        <w:topLinePunct w:val="0"/>
        <w:autoSpaceDE/>
        <w:autoSpaceDN/>
        <w:bidi w:val="0"/>
        <w:adjustRightInd/>
        <w:snapToGrid/>
        <w:spacing w:line="53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我院的工作目标是：按照上级要求和任务规划做到全面的服务、高效便捷的服务。完成居民健康档案的管理与更新、慢性病的管理、孕产妇和儿童的健康服务管理、履行卫生监督任务和指导管理工作以及中医药服务与管理。</w:t>
      </w:r>
    </w:p>
    <w:p>
      <w:pPr>
        <w:keepNext w:val="0"/>
        <w:keepLines w:val="0"/>
        <w:pageBreakBefore w:val="0"/>
        <w:widowControl/>
        <w:kinsoku/>
        <w:wordWrap/>
        <w:overflowPunct/>
        <w:topLinePunct w:val="0"/>
        <w:autoSpaceDE/>
        <w:autoSpaceDN/>
        <w:bidi w:val="0"/>
        <w:adjustRightInd/>
        <w:snapToGrid/>
        <w:spacing w:line="53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全年的任务规划是：为辖区居民建立完整的健康档案，同时完善电子档案，按时为重点人群进行随访、健康指导，配合卫体局对全乡的医疗机构进行指导和管理，严厉打击非法行医，落实国家基本药物制度，加强卫生院全面建设。</w:t>
      </w:r>
    </w:p>
    <w:p>
      <w:pPr>
        <w:keepNext w:val="0"/>
        <w:keepLines w:val="0"/>
        <w:pageBreakBefore w:val="0"/>
        <w:widowControl/>
        <w:kinsoku/>
        <w:wordWrap/>
        <w:overflowPunct/>
        <w:topLinePunct w:val="0"/>
        <w:autoSpaceDE/>
        <w:autoSpaceDN/>
        <w:bidi w:val="0"/>
        <w:adjustRightInd/>
        <w:snapToGrid/>
        <w:spacing w:before="157" w:beforeLines="50" w:line="530" w:lineRule="exact"/>
        <w:ind w:left="0" w:leftChars="0" w:firstLine="720" w:firstLineChars="200"/>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autoSpaceDE/>
        <w:autoSpaceDN/>
        <w:bidi w:val="0"/>
        <w:adjustRightInd/>
        <w:snapToGrid/>
        <w:spacing w:before="157" w:beforeLines="50" w:line="53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3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3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3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6"/>
        <w:numPr>
          <w:ilvl w:val="0"/>
          <w:numId w:val="0"/>
        </w:numPr>
        <w:ind w:left="720" w:leftChars="0"/>
        <w:rPr>
          <w:rFonts w:hint="eastAsia" w:ascii="仿宋_GB2312" w:eastAsia="仿宋_GB2312"/>
          <w:sz w:val="32"/>
          <w:szCs w:val="32"/>
        </w:rPr>
      </w:pPr>
      <w:r>
        <w:rPr>
          <w:rFonts w:hint="eastAsia" w:ascii="仿宋_GB2312" w:eastAsia="仿宋_GB2312"/>
          <w:sz w:val="32"/>
          <w:szCs w:val="32"/>
          <w:lang w:val="en-US" w:eastAsia="zh-CN"/>
        </w:rPr>
        <w:t>十三、</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eastAsia="仿宋_GB2312"/>
          <w:sz w:val="32"/>
          <w:szCs w:val="32"/>
        </w:rPr>
        <w:t>2022年政府</w:t>
      </w:r>
      <w:r>
        <w:rPr>
          <w:rFonts w:hint="eastAsia" w:ascii="仿宋_GB2312" w:eastAsia="仿宋_GB2312"/>
          <w:sz w:val="32"/>
          <w:szCs w:val="32"/>
          <w:lang w:val="en-US" w:eastAsia="zh-CN"/>
        </w:rPr>
        <w:t>性基金</w:t>
      </w:r>
      <w:r>
        <w:rPr>
          <w:rFonts w:hint="eastAsia" w:ascii="仿宋_GB2312" w:eastAsia="仿宋_GB2312"/>
          <w:sz w:val="32"/>
          <w:szCs w:val="32"/>
        </w:rPr>
        <w:t>预</w:t>
      </w:r>
      <w:r>
        <w:rPr>
          <w:rFonts w:hint="eastAsia" w:ascii="仿宋_GB2312" w:eastAsia="仿宋_GB2312"/>
          <w:sz w:val="32"/>
          <w:szCs w:val="32"/>
          <w:lang w:val="en-US" w:eastAsia="zh-CN"/>
        </w:rPr>
        <w:t>算</w:t>
      </w:r>
      <w:r>
        <w:rPr>
          <w:rFonts w:hint="eastAsia" w:ascii="仿宋_GB2312" w:eastAsia="仿宋_GB2312"/>
          <w:sz w:val="32"/>
          <w:szCs w:val="32"/>
        </w:rPr>
        <w:t>收入预算表</w:t>
      </w:r>
    </w:p>
    <w:p>
      <w:pPr>
        <w:pStyle w:val="6"/>
        <w:numPr>
          <w:ilvl w:val="0"/>
          <w:numId w:val="0"/>
        </w:numPr>
        <w:ind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十四、</w:t>
      </w: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eastAsia="仿宋_GB2312"/>
          <w:sz w:val="32"/>
          <w:szCs w:val="32"/>
        </w:rPr>
        <w:t>2022年国有资本经营预算收支预算表</w:t>
      </w:r>
    </w:p>
    <w:p>
      <w:pPr>
        <w:keepNext w:val="0"/>
        <w:keepLines w:val="0"/>
        <w:pageBreakBefore w:val="0"/>
        <w:widowControl/>
        <w:kinsoku/>
        <w:wordWrap/>
        <w:overflowPunct/>
        <w:topLinePunct w:val="0"/>
        <w:autoSpaceDE/>
        <w:autoSpaceDN/>
        <w:bidi w:val="0"/>
        <w:adjustRightInd/>
        <w:snapToGrid/>
        <w:spacing w:before="157" w:beforeLines="50" w:line="560" w:lineRule="exact"/>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keepNext w:val="0"/>
        <w:keepLines w:val="0"/>
        <w:pageBreakBefore w:val="0"/>
        <w:widowControl/>
        <w:kinsoku/>
        <w:wordWrap/>
        <w:overflowPunct/>
        <w:topLinePunct w:val="0"/>
        <w:autoSpaceDE/>
        <w:autoSpaceDN/>
        <w:bidi w:val="0"/>
        <w:adjustRightInd/>
        <w:snapToGrid/>
        <w:spacing w:before="157" w:beforeLines="50" w:line="560" w:lineRule="exact"/>
        <w:ind w:left="0" w:leftChars="0" w:firstLine="640" w:firstLineChars="20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洪洞县明姜镇中心卫生院圣王分院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lang w:val="en-US" w:eastAsia="zh-CN"/>
        </w:rPr>
        <w:t>63.5984</w:t>
      </w:r>
      <w:r>
        <w:rPr>
          <w:rFonts w:hint="eastAsia" w:ascii="仿宋_GB2312" w:hAnsi="楷体" w:eastAsia="仿宋_GB2312"/>
          <w:kern w:val="0"/>
          <w:sz w:val="32"/>
          <w:szCs w:val="32"/>
        </w:rPr>
        <w:t>万元，与上年相比收、支预算总计各增加</w:t>
      </w:r>
      <w:r>
        <w:rPr>
          <w:rFonts w:hint="eastAsia" w:ascii="仿宋_GB2312" w:hAnsi="楷体" w:eastAsia="仿宋_GB2312"/>
          <w:kern w:val="0"/>
          <w:sz w:val="32"/>
          <w:szCs w:val="32"/>
          <w:u w:val="single"/>
          <w:lang w:val="en-US" w:eastAsia="zh-CN"/>
        </w:rPr>
        <w:t>4.4284</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7.48</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63.5984</w:t>
      </w:r>
      <w:r>
        <w:rPr>
          <w:rFonts w:hint="eastAsia" w:ascii="仿宋_GB2312" w:hAnsi="楷体" w:eastAsia="仿宋_GB2312"/>
          <w:kern w:val="0"/>
          <w:sz w:val="32"/>
          <w:szCs w:val="32"/>
        </w:rPr>
        <w:t>万元。包括：</w:t>
      </w:r>
    </w:p>
    <w:p>
      <w:pPr>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63.5984</w:t>
      </w:r>
      <w:r>
        <w:rPr>
          <w:rFonts w:hint="eastAsia" w:ascii="仿宋_GB2312" w:hAnsi="楷体" w:eastAsia="仿宋_GB2312"/>
          <w:kern w:val="0"/>
          <w:sz w:val="32"/>
          <w:szCs w:val="32"/>
        </w:rPr>
        <w:t>万元。</w:t>
      </w:r>
    </w:p>
    <w:p>
      <w:pPr>
        <w:widowControl/>
        <w:spacing w:line="560" w:lineRule="exact"/>
        <w:ind w:firstLine="636"/>
        <w:rPr>
          <w:rFonts w:hint="eastAsia" w:ascii="仿宋_GB2312" w:hAnsi="宋体" w:eastAsia="仿宋_GB2312" w:cs="宋体"/>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63.5984</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4.4284</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7.48</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rPr>
        <w:t>主要原因是人员普调增资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提前下达</w:t>
      </w:r>
      <w:r>
        <w:rPr>
          <w:rFonts w:hint="eastAsia" w:ascii="仿宋_GB2312" w:hAnsi="宋体" w:eastAsia="仿宋_GB2312" w:cs="宋体"/>
          <w:kern w:val="0"/>
          <w:sz w:val="32"/>
          <w:szCs w:val="32"/>
        </w:rPr>
        <w:t>基本公共卫生资金、</w:t>
      </w:r>
      <w:r>
        <w:rPr>
          <w:rFonts w:hint="eastAsia" w:ascii="仿宋_GB2312" w:hAnsi="宋体" w:eastAsia="仿宋_GB2312" w:cs="宋体"/>
          <w:kern w:val="0"/>
          <w:sz w:val="32"/>
          <w:szCs w:val="32"/>
          <w:lang w:val="en-US" w:eastAsia="zh-CN"/>
        </w:rPr>
        <w:t>基本药物资金</w:t>
      </w:r>
      <w:r>
        <w:rPr>
          <w:rFonts w:hint="eastAsia" w:ascii="仿宋_GB2312" w:hAnsi="宋体" w:eastAsia="仿宋_GB2312" w:cs="宋体"/>
          <w:kern w:val="0"/>
          <w:sz w:val="32"/>
          <w:szCs w:val="32"/>
        </w:rPr>
        <w:t>列入年初预算。</w:t>
      </w:r>
    </w:p>
    <w:p>
      <w:pPr>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lang w:eastAsia="zh-CN"/>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（二）支出预算总计</w:t>
      </w:r>
      <w:r>
        <w:rPr>
          <w:rFonts w:ascii="仿宋_GB2312" w:hAnsi="楷体" w:eastAsia="仿宋_GB2312"/>
          <w:kern w:val="0"/>
          <w:sz w:val="32"/>
          <w:szCs w:val="32"/>
        </w:rPr>
        <w:t xml:space="preserve"> </w:t>
      </w:r>
      <w:r>
        <w:rPr>
          <w:rFonts w:hint="eastAsia" w:ascii="仿宋_GB2312" w:hAnsi="楷体" w:eastAsia="仿宋_GB2312"/>
          <w:kern w:val="0"/>
          <w:sz w:val="32"/>
          <w:szCs w:val="32"/>
          <w:u w:val="single"/>
          <w:lang w:val="en-US" w:eastAsia="zh-CN"/>
        </w:rPr>
        <w:t>63.5984</w:t>
      </w:r>
      <w:r>
        <w:rPr>
          <w:rFonts w:hint="eastAsia" w:ascii="仿宋_GB2312" w:hAnsi="楷体" w:eastAsia="仿宋_GB2312"/>
          <w:kern w:val="0"/>
          <w:sz w:val="32"/>
          <w:szCs w:val="32"/>
        </w:rPr>
        <w:t>万元。包括：</w:t>
      </w:r>
    </w:p>
    <w:p>
      <w:pPr>
        <w:widowControl/>
        <w:spacing w:line="560" w:lineRule="exact"/>
        <w:ind w:firstLine="640"/>
        <w:rPr>
          <w:rFonts w:hint="eastAsia" w:ascii="仿宋" w:hAnsi="仿宋" w:eastAsia="仿宋" w:cs="仿宋"/>
          <w:kern w:val="0"/>
          <w:sz w:val="32"/>
          <w:szCs w:val="32"/>
        </w:rPr>
      </w:pPr>
      <w:r>
        <w:rPr>
          <w:rFonts w:hint="eastAsia" w:ascii="仿宋_GB2312" w:hAnsi="宋体" w:eastAsia="仿宋_GB2312" w:cs="宋体"/>
          <w:kern w:val="0"/>
          <w:sz w:val="32"/>
          <w:szCs w:val="32"/>
        </w:rPr>
        <w:t>1．</w:t>
      </w:r>
      <w:r>
        <w:rPr>
          <w:rFonts w:hint="eastAsia" w:ascii="仿宋" w:hAnsi="仿宋" w:eastAsia="仿宋" w:cs="仿宋"/>
          <w:kern w:val="0"/>
          <w:sz w:val="32"/>
          <w:szCs w:val="32"/>
        </w:rPr>
        <w:t>社会保障和就业支出</w:t>
      </w:r>
      <w:r>
        <w:rPr>
          <w:rFonts w:hint="eastAsia" w:ascii="仿宋" w:hAnsi="仿宋" w:eastAsia="仿宋" w:cs="仿宋"/>
          <w:kern w:val="0"/>
          <w:sz w:val="32"/>
          <w:szCs w:val="32"/>
          <w:lang w:val="en-US" w:eastAsia="zh-CN"/>
        </w:rPr>
        <w:t>11.3234</w:t>
      </w:r>
      <w:r>
        <w:rPr>
          <w:rFonts w:hint="eastAsia" w:ascii="仿宋" w:hAnsi="仿宋" w:eastAsia="仿宋" w:cs="仿宋"/>
          <w:kern w:val="0"/>
          <w:sz w:val="32"/>
          <w:szCs w:val="32"/>
        </w:rPr>
        <w:t>万元，主要用于在职人员养老保险及离退休人员采暖补贴等。与上年相比减少</w:t>
      </w:r>
      <w:r>
        <w:rPr>
          <w:rFonts w:hint="eastAsia" w:ascii="仿宋" w:hAnsi="仿宋" w:eastAsia="仿宋" w:cs="仿宋"/>
          <w:kern w:val="0"/>
          <w:sz w:val="32"/>
          <w:szCs w:val="32"/>
          <w:lang w:val="en-US" w:eastAsia="zh-CN"/>
        </w:rPr>
        <w:t>1.0066</w:t>
      </w:r>
      <w:r>
        <w:rPr>
          <w:rFonts w:hint="eastAsia" w:ascii="仿宋" w:hAnsi="仿宋" w:eastAsia="仿宋" w:cs="仿宋"/>
          <w:kern w:val="0"/>
          <w:sz w:val="32"/>
          <w:szCs w:val="32"/>
        </w:rPr>
        <w:t>万元，减少</w:t>
      </w:r>
      <w:r>
        <w:rPr>
          <w:rFonts w:hint="eastAsia" w:ascii="仿宋" w:hAnsi="仿宋" w:eastAsia="仿宋" w:cs="仿宋"/>
          <w:kern w:val="0"/>
          <w:sz w:val="32"/>
          <w:szCs w:val="32"/>
          <w:lang w:val="en-US" w:eastAsia="zh-CN"/>
        </w:rPr>
        <w:t>8.16</w:t>
      </w:r>
      <w:r>
        <w:rPr>
          <w:rFonts w:hint="eastAsia" w:ascii="仿宋" w:hAnsi="仿宋" w:eastAsia="仿宋" w:cs="仿宋"/>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本年度职业年金单位部分未列入</w:t>
      </w:r>
      <w:r>
        <w:rPr>
          <w:rFonts w:hint="eastAsia" w:ascii="仿宋_GB2312" w:hAnsi="楷体" w:eastAsia="仿宋_GB2312"/>
          <w:kern w:val="0"/>
          <w:sz w:val="32"/>
          <w:szCs w:val="32"/>
          <w:lang w:val="en-US" w:eastAsia="zh-CN"/>
        </w:rPr>
        <w:t>年初</w:t>
      </w:r>
      <w:r>
        <w:rPr>
          <w:rFonts w:hint="eastAsia" w:ascii="仿宋_GB2312" w:hAnsi="楷体" w:eastAsia="仿宋_GB2312"/>
          <w:kern w:val="0"/>
          <w:sz w:val="32"/>
          <w:szCs w:val="32"/>
          <w:lang w:eastAsia="zh-CN"/>
        </w:rPr>
        <w:t>预算</w:t>
      </w:r>
      <w:r>
        <w:rPr>
          <w:rFonts w:hint="eastAsia" w:ascii="仿宋_GB2312" w:hAnsi="楷体" w:eastAsia="仿宋_GB2312"/>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hint="eastAsia" w:ascii="仿宋" w:hAnsi="仿宋" w:eastAsia="仿宋" w:cs="仿宋"/>
          <w:kern w:val="0"/>
          <w:sz w:val="32"/>
          <w:szCs w:val="32"/>
        </w:rPr>
      </w:pPr>
      <w:r>
        <w:rPr>
          <w:rFonts w:hint="eastAsia" w:ascii="仿宋_GB2312" w:hAnsi="宋体" w:eastAsia="仿宋_GB2312" w:cs="宋体"/>
          <w:kern w:val="0"/>
          <w:sz w:val="32"/>
          <w:szCs w:val="32"/>
        </w:rPr>
        <w:t>2．</w:t>
      </w:r>
      <w:r>
        <w:rPr>
          <w:rFonts w:hint="eastAsia" w:ascii="仿宋" w:hAnsi="仿宋" w:eastAsia="仿宋" w:cs="仿宋"/>
          <w:kern w:val="0"/>
          <w:sz w:val="32"/>
          <w:szCs w:val="32"/>
        </w:rPr>
        <w:t>卫生健康支出</w:t>
      </w:r>
      <w:r>
        <w:rPr>
          <w:rFonts w:hint="eastAsia" w:ascii="仿宋" w:hAnsi="仿宋" w:eastAsia="仿宋" w:cs="仿宋"/>
          <w:kern w:val="0"/>
          <w:sz w:val="32"/>
          <w:szCs w:val="32"/>
          <w:lang w:val="en-US" w:eastAsia="zh-CN"/>
        </w:rPr>
        <w:t>52.2750</w:t>
      </w:r>
      <w:r>
        <w:rPr>
          <w:rFonts w:hint="eastAsia" w:ascii="仿宋" w:hAnsi="仿宋" w:eastAsia="仿宋" w:cs="仿宋"/>
          <w:kern w:val="0"/>
          <w:sz w:val="32"/>
          <w:szCs w:val="32"/>
        </w:rPr>
        <w:t>万元，主要用于在职人员工资、公共卫生及医疗项目资金。与上年相比增加</w:t>
      </w:r>
      <w:r>
        <w:rPr>
          <w:rFonts w:hint="eastAsia" w:ascii="仿宋" w:hAnsi="仿宋" w:eastAsia="仿宋" w:cs="仿宋"/>
          <w:kern w:val="0"/>
          <w:sz w:val="32"/>
          <w:szCs w:val="32"/>
          <w:lang w:val="en-US" w:eastAsia="zh-CN"/>
        </w:rPr>
        <w:t>5.4350</w:t>
      </w:r>
      <w:r>
        <w:rPr>
          <w:rFonts w:hint="eastAsia" w:ascii="仿宋" w:hAnsi="仿宋" w:eastAsia="仿宋" w:cs="仿宋"/>
          <w:kern w:val="0"/>
          <w:sz w:val="32"/>
          <w:szCs w:val="32"/>
        </w:rPr>
        <w:t>万元，增长</w:t>
      </w:r>
      <w:r>
        <w:rPr>
          <w:rFonts w:hint="eastAsia" w:ascii="仿宋" w:hAnsi="仿宋" w:eastAsia="仿宋" w:cs="仿宋"/>
          <w:kern w:val="0"/>
          <w:sz w:val="32"/>
          <w:szCs w:val="32"/>
          <w:lang w:val="en-US" w:eastAsia="zh-CN"/>
        </w:rPr>
        <w:t>11.60</w:t>
      </w:r>
      <w:r>
        <w:rPr>
          <w:rFonts w:hint="eastAsia" w:ascii="仿宋" w:hAnsi="仿宋" w:eastAsia="仿宋" w:cs="仿宋"/>
          <w:kern w:val="0"/>
          <w:sz w:val="32"/>
          <w:szCs w:val="32"/>
        </w:rPr>
        <w:t>%。主要原因是人员普调增资；提前下达基本公共卫生资金、基本药物资金列入年初预算。</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宋体" w:eastAsia="仿宋_GB2312" w:cs="宋体"/>
          <w:kern w:val="0"/>
          <w:sz w:val="32"/>
          <w:szCs w:val="32"/>
        </w:rPr>
      </w:pPr>
      <w:r>
        <w:rPr>
          <w:rFonts w:ascii="仿宋_GB2312" w:hAnsi="楷体" w:eastAsia="仿宋_GB2312"/>
          <w:kern w:val="0"/>
          <w:sz w:val="32"/>
          <w:szCs w:val="32"/>
        </w:rPr>
        <w:t>3</w:t>
      </w:r>
      <w:r>
        <w:rPr>
          <w:rFonts w:hint="eastAsia" w:ascii="仿宋_GB2312" w:hAnsi="楷体" w:eastAsia="仿宋_GB2312"/>
          <w:kern w:val="0"/>
          <w:sz w:val="32"/>
          <w:szCs w:val="32"/>
        </w:rPr>
        <w:t>．基本支出预算数为</w:t>
      </w:r>
      <w:r>
        <w:rPr>
          <w:rFonts w:hint="eastAsia" w:ascii="仿宋_GB2312" w:hAnsi="楷体" w:eastAsia="仿宋_GB2312"/>
          <w:kern w:val="0"/>
          <w:sz w:val="32"/>
          <w:szCs w:val="32"/>
          <w:u w:val="none"/>
          <w:lang w:val="en-US" w:eastAsia="zh-CN"/>
        </w:rPr>
        <w:t>55.197</w:t>
      </w:r>
      <w:r>
        <w:rPr>
          <w:rFonts w:hint="eastAsia" w:ascii="仿宋_GB2312" w:hAnsi="楷体" w:eastAsia="仿宋_GB2312"/>
          <w:kern w:val="0"/>
          <w:sz w:val="32"/>
          <w:szCs w:val="32"/>
        </w:rPr>
        <w:t>万元。与上年相比减少</w:t>
      </w:r>
      <w:r>
        <w:rPr>
          <w:rFonts w:hint="eastAsia" w:ascii="仿宋_GB2312" w:hAnsi="楷体" w:eastAsia="仿宋_GB2312"/>
          <w:kern w:val="0"/>
          <w:sz w:val="32"/>
          <w:szCs w:val="32"/>
          <w:u w:val="none"/>
          <w:lang w:val="en-US" w:eastAsia="zh-CN"/>
        </w:rPr>
        <w:t>3.973</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none"/>
          <w:lang w:val="en-US" w:eastAsia="zh-CN"/>
        </w:rPr>
        <w:t>6.71</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职业年金单位部分未列入</w:t>
      </w:r>
      <w:r>
        <w:rPr>
          <w:rFonts w:hint="eastAsia" w:ascii="仿宋_GB2312" w:hAnsi="楷体" w:eastAsia="仿宋_GB2312"/>
          <w:kern w:val="0"/>
          <w:sz w:val="32"/>
          <w:szCs w:val="32"/>
          <w:lang w:val="en-US" w:eastAsia="zh-CN"/>
        </w:rPr>
        <w:t>年初</w:t>
      </w:r>
      <w:r>
        <w:rPr>
          <w:rFonts w:hint="eastAsia" w:ascii="仿宋_GB2312" w:hAnsi="楷体" w:eastAsia="仿宋_GB2312"/>
          <w:kern w:val="0"/>
          <w:sz w:val="32"/>
          <w:szCs w:val="32"/>
          <w:lang w:eastAsia="zh-CN"/>
        </w:rPr>
        <w:t>预算</w:t>
      </w:r>
      <w:r>
        <w:rPr>
          <w:rFonts w:hint="eastAsia" w:ascii="仿宋_GB2312" w:hAnsi="楷体" w:eastAsia="仿宋_GB2312"/>
          <w:color w:val="000000" w:themeColor="text1"/>
          <w:kern w:val="0"/>
          <w:sz w:val="32"/>
          <w:szCs w:val="32"/>
          <w14:textFill>
            <w14:solidFill>
              <w14:schemeClr w14:val="tx1"/>
            </w14:solidFill>
          </w14:textFill>
        </w:rPr>
        <w:t>。</w:t>
      </w:r>
      <w:r>
        <w:rPr>
          <w:rFonts w:hint="eastAsia" w:ascii="仿宋_GB2312" w:hAnsi="楷体" w:eastAsia="仿宋_GB2312"/>
          <w:kern w:val="0"/>
          <w:sz w:val="32"/>
          <w:szCs w:val="32"/>
        </w:rPr>
        <w:t>项目支出预算数为</w:t>
      </w:r>
      <w:r>
        <w:rPr>
          <w:rFonts w:hint="eastAsia" w:ascii="仿宋_GB2312" w:hAnsi="楷体" w:eastAsia="仿宋_GB2312"/>
          <w:kern w:val="0"/>
          <w:sz w:val="32"/>
          <w:szCs w:val="32"/>
          <w:u w:val="none"/>
          <w:lang w:val="en-US" w:eastAsia="zh-CN"/>
        </w:rPr>
        <w:t>8.4014</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none"/>
          <w:lang w:val="en-US" w:eastAsia="zh-CN"/>
        </w:rPr>
        <w:t>8.4014</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non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主要原因是</w:t>
      </w:r>
      <w:r>
        <w:rPr>
          <w:rFonts w:hint="eastAsia" w:ascii="仿宋_GB2312" w:hAnsi="宋体" w:eastAsia="仿宋_GB2312" w:cs="宋体"/>
          <w:kern w:val="0"/>
          <w:sz w:val="32"/>
          <w:szCs w:val="32"/>
        </w:rPr>
        <w:t>提前下达基本公共卫生资金、基本药物资金列入年初预算。</w:t>
      </w:r>
    </w:p>
    <w:p>
      <w:pPr>
        <w:pageBreakBefore w:val="0"/>
        <w:widowControl/>
        <w:kinsoku/>
        <w:wordWrap/>
        <w:overflowPunct/>
        <w:topLinePunct w:val="0"/>
        <w:bidi w:val="0"/>
        <w:snapToGrid/>
        <w:spacing w:line="560" w:lineRule="exact"/>
        <w:ind w:left="0" w:leftChars="0" w:firstLine="640" w:firstLineChars="20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rPr>
        <w:t xml:space="preserve">   </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63.5984</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63.5984</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rPr>
        <w:t xml:space="preserve">   </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63.5984</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55.197</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86.79</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8.4014</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13.21</w:t>
      </w:r>
      <w:r>
        <w:rPr>
          <w:rFonts w:ascii="仿宋_GB2312" w:hAnsi="楷体" w:eastAsia="仿宋_GB2312"/>
          <w:kern w:val="0"/>
          <w:sz w:val="32"/>
          <w:szCs w:val="32"/>
        </w:rPr>
        <w:t>%</w:t>
      </w:r>
      <w:r>
        <w:rPr>
          <w:rFonts w:hint="eastAsia" w:ascii="仿宋_GB2312" w:hAnsi="楷体" w:eastAsia="仿宋_GB2312"/>
          <w:kern w:val="0"/>
          <w:sz w:val="32"/>
          <w:szCs w:val="32"/>
        </w:rPr>
        <w:t xml:space="preserve">。 </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widowControl/>
        <w:spacing w:line="560" w:lineRule="exact"/>
        <w:ind w:firstLine="636"/>
        <w:rPr>
          <w:rFonts w:hint="eastAsia" w:ascii="仿宋_GB2312" w:hAnsi="宋体" w:eastAsia="仿宋_GB2312" w:cs="宋体"/>
          <w:kern w:val="0"/>
          <w:sz w:val="32"/>
          <w:szCs w:val="32"/>
        </w:rPr>
      </w:pPr>
      <w:r>
        <w:rPr>
          <w:rFonts w:hint="eastAsia" w:ascii="仿宋_GB2312" w:hAnsi="Times New Roman" w:eastAsia="仿宋_GB2312" w:cs="仿宋_GB2312"/>
          <w:kern w:val="2"/>
          <w:sz w:val="32"/>
          <w:szCs w:val="32"/>
          <w:lang w:val="en-US" w:eastAsia="zh-CN" w:bidi="ar"/>
        </w:rPr>
        <w:t>洪洞县明姜镇中心卫生院圣王分院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63.5984</w:t>
      </w:r>
      <w:r>
        <w:rPr>
          <w:rFonts w:hint="eastAsia" w:ascii="仿宋_GB2312" w:hAnsi="楷体" w:eastAsia="仿宋_GB2312"/>
          <w:kern w:val="0"/>
          <w:sz w:val="32"/>
          <w:szCs w:val="32"/>
        </w:rPr>
        <w:t>万元。与上年相比，财政拨款收、支总计各增加</w:t>
      </w:r>
      <w:r>
        <w:rPr>
          <w:rFonts w:hint="eastAsia" w:ascii="仿宋_GB2312" w:hAnsi="楷体" w:eastAsia="仿宋_GB2312"/>
          <w:kern w:val="0"/>
          <w:sz w:val="32"/>
          <w:szCs w:val="32"/>
          <w:u w:val="single"/>
          <w:lang w:val="en-US" w:eastAsia="zh-CN"/>
        </w:rPr>
        <w:t>4.4284</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7.48</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rPr>
        <w:t>主要原因是人员普调增资；提前下达基本公共卫生资金、基本药物资金列入年初预算。</w:t>
      </w:r>
    </w:p>
    <w:p>
      <w:pPr>
        <w:pageBreakBefore w:val="0"/>
        <w:kinsoku/>
        <w:wordWrap/>
        <w:overflowPunct/>
        <w:topLinePunct w:val="0"/>
        <w:autoSpaceDE w:val="0"/>
        <w:autoSpaceDN w:val="0"/>
        <w:bidi w:val="0"/>
        <w:adjustRightInd w:val="0"/>
        <w:snapToGrid/>
        <w:spacing w:line="560" w:lineRule="exact"/>
        <w:ind w:firstLine="320" w:firstLineChars="1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Times New Roman" w:eastAsia="仿宋_GB2312" w:cs="仿宋_GB2312"/>
          <w:kern w:val="2"/>
          <w:sz w:val="32"/>
          <w:szCs w:val="32"/>
          <w:lang w:val="en-US" w:eastAsia="zh-CN" w:bidi="ar"/>
        </w:rPr>
        <w:t>洪洞县明姜镇中心卫生院圣王分院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hint="eastAsia" w:ascii="仿宋_GB2312" w:hAnsi="楷体" w:eastAsia="仿宋_GB2312"/>
          <w:kern w:val="0"/>
          <w:sz w:val="32"/>
          <w:szCs w:val="32"/>
          <w:u w:val="single"/>
          <w:lang w:val="en-US" w:eastAsia="zh-CN"/>
        </w:rPr>
        <w:t>63.5984</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4.4284</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7.48</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rPr>
        <w:t>主要原因是人员普调增资；提前下达基本公共卫生资金、基本药物资金列入年初预算。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洪洞县明姜镇中心卫生院圣王分院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lang w:val="en-US" w:eastAsia="zh-CN"/>
        </w:rPr>
        <w:t>55.1970</w:t>
      </w:r>
      <w:r>
        <w:rPr>
          <w:rFonts w:hint="eastAsia" w:ascii="仿宋_GB2312" w:hAnsi="楷体" w:eastAsia="仿宋_GB2312"/>
          <w:kern w:val="0"/>
          <w:sz w:val="32"/>
          <w:szCs w:val="32"/>
        </w:rPr>
        <w:t>万元，其中：</w:t>
      </w:r>
    </w:p>
    <w:p>
      <w:pPr>
        <w:widowControl/>
        <w:spacing w:line="560" w:lineRule="exact"/>
        <w:ind w:firstLine="636"/>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55.1970</w:t>
      </w:r>
      <w:r>
        <w:rPr>
          <w:rFonts w:hint="eastAsia" w:ascii="仿宋_GB2312" w:hAnsi="楷体" w:eastAsia="仿宋_GB2312"/>
          <w:kern w:val="0"/>
          <w:sz w:val="32"/>
          <w:szCs w:val="32"/>
        </w:rPr>
        <w:t>万元。主要包括：基本工资、津贴补贴、绩效工资、机关事业单位基本养老保险缴费、生活补助</w:t>
      </w:r>
      <w:r>
        <w:rPr>
          <w:rFonts w:hint="eastAsia" w:ascii="仿宋_GB2312" w:hAnsi="楷体"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万元。主要包括：</w:t>
      </w:r>
      <w:r>
        <w:rPr>
          <w:rFonts w:hint="eastAsia" w:ascii="仿宋_GB2312" w:hAnsi="楷体" w:eastAsia="仿宋_GB2312"/>
          <w:kern w:val="0"/>
          <w:sz w:val="32"/>
          <w:szCs w:val="32"/>
          <w:lang w:eastAsia="zh-CN"/>
        </w:rPr>
        <w:t>无。</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widowControl/>
        <w:spacing w:line="560" w:lineRule="exact"/>
        <w:ind w:firstLine="636"/>
        <w:rPr>
          <w:rFonts w:hint="eastAsia" w:ascii="黑体" w:hAnsi="楷体" w:eastAsia="黑体" w:cs="Times New Roman"/>
          <w:kern w:val="0"/>
          <w:sz w:val="32"/>
          <w:szCs w:val="32"/>
        </w:rPr>
      </w:pPr>
      <w:r>
        <w:rPr>
          <w:rFonts w:hint="eastAsia" w:ascii="黑体" w:hAnsi="楷体" w:eastAsia="黑体" w:cs="Times New Roman"/>
          <w:kern w:val="0"/>
          <w:sz w:val="32"/>
          <w:szCs w:val="32"/>
        </w:rPr>
        <w:t>八、一般公共预算“三公”经费预算情况说明</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洪洞县明姜镇中心卫生院圣王分院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autoSpaceDE w:val="0"/>
        <w:autoSpaceDN w:val="0"/>
        <w:adjustRightInd w:val="0"/>
        <w:ind w:firstLine="480" w:firstLineChars="150"/>
        <w:jc w:val="left"/>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widowControl/>
        <w:spacing w:line="560" w:lineRule="exact"/>
        <w:ind w:firstLine="636"/>
        <w:rPr>
          <w:rFonts w:hint="eastAsia" w:ascii="黑体" w:hAnsi="楷体" w:eastAsia="黑体" w:cs="Times New Roman"/>
          <w:kern w:val="0"/>
          <w:sz w:val="32"/>
          <w:szCs w:val="32"/>
        </w:rPr>
      </w:pPr>
      <w:r>
        <w:rPr>
          <w:rFonts w:hint="eastAsia" w:ascii="黑体" w:hAnsi="楷体" w:eastAsia="黑体" w:cs="Times New Roman"/>
          <w:kern w:val="0"/>
          <w:sz w:val="32"/>
          <w:szCs w:val="32"/>
        </w:rPr>
        <w:t>九、一般公共预算机关运行经费支出预算情况说明</w:t>
      </w:r>
    </w:p>
    <w:p>
      <w:pPr>
        <w:keepNext w:val="0"/>
        <w:keepLines w:val="0"/>
        <w:pageBreakBefore w:val="0"/>
        <w:widowControl w:val="0"/>
        <w:kinsoku/>
        <w:wordWrap/>
        <w:overflowPunct/>
        <w:topLinePunct w:val="0"/>
        <w:autoSpaceDE w:val="0"/>
        <w:autoSpaceDN w:val="0"/>
        <w:bidi w:val="0"/>
        <w:adjustRightInd w:val="0"/>
        <w:snapToGrid/>
        <w:ind w:firstLine="358" w:firstLineChars="112"/>
        <w:jc w:val="left"/>
        <w:textAlignment w:val="auto"/>
        <w:rPr>
          <w:rFonts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lang w:val="en-US" w:eastAsia="zh-CN"/>
        </w:rPr>
        <w:t>0万</w:t>
      </w:r>
      <w:r>
        <w:rPr>
          <w:rFonts w:hint="eastAsia" w:ascii="仿宋_GB2312" w:hAnsi="楷体" w:eastAsia="仿宋_GB2312"/>
          <w:kern w:val="0"/>
          <w:sz w:val="32"/>
          <w:szCs w:val="32"/>
        </w:rPr>
        <w:t>元，与上年相比增加（减少）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万元，增长（降低）</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widowControl/>
        <w:spacing w:line="560" w:lineRule="exact"/>
        <w:ind w:firstLine="636"/>
        <w:rPr>
          <w:rFonts w:hint="eastAsia" w:ascii="黑体" w:hAnsi="楷体" w:eastAsia="黑体" w:cs="Times New Roman"/>
          <w:kern w:val="0"/>
          <w:sz w:val="32"/>
          <w:szCs w:val="32"/>
        </w:rPr>
      </w:pPr>
      <w:r>
        <w:rPr>
          <w:rFonts w:hint="eastAsia" w:ascii="黑体" w:hAnsi="楷体" w:eastAsia="黑体" w:cs="Times New Roman"/>
          <w:kern w:val="0"/>
          <w:sz w:val="32"/>
          <w:szCs w:val="32"/>
        </w:rPr>
        <w:t>十、政府采购支出预算情况说明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lang w:val="en-US" w:eastAsia="zh-CN"/>
        </w:rPr>
      </w:pPr>
      <w:bookmarkStart w:id="0" w:name="_GoBack"/>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 xml:space="preserve">   </w:t>
      </w:r>
      <w:bookmarkEnd w:id="0"/>
      <w:r>
        <w:rPr>
          <w:rFonts w:hint="eastAsia" w:ascii="仿宋_GB2312" w:hAnsi="楷体" w:eastAsia="仿宋_GB2312"/>
          <w:kern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楷体" w:eastAsia="黑体" w:cs="Times New Roman"/>
          <w:kern w:val="0"/>
          <w:sz w:val="32"/>
          <w:szCs w:val="32"/>
        </w:rPr>
      </w:pPr>
      <w:r>
        <w:rPr>
          <w:rFonts w:hint="eastAsia" w:ascii="黑体" w:hAnsi="楷体" w:eastAsia="黑体" w:cs="Times New Roman"/>
          <w:kern w:val="0"/>
          <w:sz w:val="32"/>
          <w:szCs w:val="32"/>
          <w:lang w:val="en-US" w:eastAsia="zh-CN"/>
        </w:rPr>
        <w:t>十一、</w:t>
      </w:r>
      <w:r>
        <w:rPr>
          <w:rFonts w:hint="eastAsia" w:ascii="黑体" w:hAnsi="楷体" w:eastAsia="黑体" w:cs="Times New Roman"/>
          <w:kern w:val="0"/>
          <w:sz w:val="32"/>
          <w:szCs w:val="32"/>
        </w:rPr>
        <w:t>国有资产占用情况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本部门共有车辆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辆、特种专业技术用车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辆、其他用车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房屋情况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eastAsia="仿宋_GB2312"/>
          <w:sz w:val="32"/>
          <w:szCs w:val="32"/>
          <w:lang w:eastAsia="zh-CN"/>
        </w:rPr>
        <w:t>办公用房总建筑面积</w:t>
      </w:r>
      <w:r>
        <w:rPr>
          <w:rFonts w:hint="eastAsia" w:ascii="仿宋_GB2312" w:eastAsia="仿宋_GB2312"/>
          <w:sz w:val="32"/>
          <w:szCs w:val="32"/>
          <w:lang w:val="en-US" w:eastAsia="zh-CN"/>
        </w:rPr>
        <w:t>740平方米。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其他国有资产占有使用情况</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eastAsia="仿宋_GB2312"/>
          <w:b w:val="0"/>
          <w:bCs w:val="0"/>
          <w:sz w:val="32"/>
          <w:szCs w:val="32"/>
          <w:lang w:eastAsia="zh-CN"/>
        </w:rPr>
        <w:t>现有价值</w:t>
      </w:r>
      <w:r>
        <w:rPr>
          <w:rFonts w:hint="eastAsia" w:ascii="仿宋_GB2312" w:eastAsia="仿宋_GB2312"/>
          <w:b w:val="0"/>
          <w:bCs w:val="0"/>
          <w:sz w:val="32"/>
          <w:szCs w:val="32"/>
          <w:lang w:val="en-US" w:eastAsia="zh-CN"/>
        </w:rPr>
        <w:t>50万元以上通用设备0</w:t>
      </w:r>
      <w:r>
        <w:rPr>
          <w:rFonts w:hint="eastAsia" w:ascii="仿宋_GB2312" w:eastAsia="仿宋_GB2312"/>
          <w:b w:val="0"/>
          <w:bCs w:val="0"/>
          <w:sz w:val="32"/>
          <w:szCs w:val="32"/>
          <w:u w:val="none"/>
          <w:lang w:val="en-US" w:eastAsia="zh-CN"/>
        </w:rPr>
        <w:t>台（套）;单位价值100万元以上专用设备0台（套）。</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5</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u w:val="single"/>
          <w:lang w:val="en-US" w:eastAsia="zh-CN"/>
        </w:rPr>
        <w:t>63.5984</w:t>
      </w:r>
      <w:r>
        <w:rPr>
          <w:rFonts w:hint="eastAsia" w:ascii="仿宋_GB2312" w:hAnsi="楷体" w:eastAsia="仿宋_GB2312"/>
          <w:kern w:val="0"/>
          <w:sz w:val="32"/>
          <w:szCs w:val="32"/>
        </w:rPr>
        <w:t>万元；本部门单位整体支出（</w:t>
      </w:r>
      <w:r>
        <w:rPr>
          <w:rFonts w:hint="eastAsia" w:ascii="仿宋_GB2312" w:hAnsi="宋体" w:eastAsia="仿宋_GB2312" w:cs="宋体"/>
          <w:kern w:val="0"/>
          <w:sz w:val="32"/>
          <w:szCs w:val="32"/>
        </w:rPr>
        <w:sym w:font="Wingdings" w:char="00FE"/>
      </w:r>
      <w:r>
        <w:rPr>
          <w:rFonts w:hint="eastAsia" w:ascii="仿宋_GB2312" w:hAnsi="楷体" w:eastAsia="仿宋_GB2312"/>
          <w:kern w:val="0"/>
          <w:sz w:val="32"/>
          <w:szCs w:val="32"/>
        </w:rPr>
        <w:t>纳入、□未纳入）绩效目标管理，涉及财政性资金</w:t>
      </w:r>
      <w:r>
        <w:rPr>
          <w:rFonts w:hint="eastAsia" w:ascii="仿宋_GB2312" w:hAnsi="楷体" w:eastAsia="仿宋_GB2312"/>
          <w:kern w:val="0"/>
          <w:sz w:val="32"/>
          <w:szCs w:val="32"/>
          <w:u w:val="single"/>
          <w:lang w:val="en-US" w:eastAsia="zh-CN"/>
        </w:rPr>
        <w:t>63.5984</w:t>
      </w:r>
      <w:r>
        <w:rPr>
          <w:rFonts w:hint="eastAsia" w:ascii="仿宋_GB2312" w:hAnsi="楷体" w:eastAsia="仿宋_GB2312"/>
          <w:kern w:val="0"/>
          <w:sz w:val="32"/>
          <w:szCs w:val="32"/>
        </w:rPr>
        <w:t>万元。</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黑体" w:hAnsi="楷体" w:eastAsia="黑体"/>
          <w:kern w:val="0"/>
          <w:sz w:val="32"/>
          <w:szCs w:val="32"/>
        </w:rPr>
        <w:t>十三、其他说明</w:t>
      </w:r>
    </w:p>
    <w:p>
      <w:pPr>
        <w:keepNext w:val="0"/>
        <w:keepLines w:val="0"/>
        <w:pageBreakBefore w:val="0"/>
        <w:widowControl/>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keepNext w:val="0"/>
        <w:keepLines w:val="0"/>
        <w:pageBreakBefore w:val="0"/>
        <w:widowControl/>
        <w:kinsoku/>
        <w:wordWrap/>
        <w:overflowPunct/>
        <w:topLinePunct w:val="0"/>
        <w:bidi w:val="0"/>
        <w:snapToGrid/>
        <w:spacing w:line="560" w:lineRule="exact"/>
        <w:ind w:left="0" w:leftChars="0" w:firstLine="864" w:firstLineChars="300"/>
        <w:textAlignment w:val="auto"/>
        <w:rPr>
          <w:rFonts w:hint="eastAsia" w:ascii="仿宋_GB2312" w:hAnsi="黑体" w:eastAsia="仿宋_GB2312"/>
          <w:b w:val="0"/>
          <w:bCs/>
          <w:spacing w:val="-16"/>
          <w:kern w:val="0"/>
          <w:sz w:val="32"/>
          <w:szCs w:val="32"/>
        </w:rPr>
      </w:pPr>
      <w:r>
        <w:rPr>
          <w:rFonts w:hint="eastAsia" w:ascii="仿宋_GB2312" w:hAnsi="黑体" w:eastAsia="仿宋_GB2312"/>
          <w:b w:val="0"/>
          <w:bCs/>
          <w:spacing w:val="-16"/>
          <w:kern w:val="0"/>
          <w:sz w:val="32"/>
          <w:szCs w:val="32"/>
        </w:rPr>
        <w:t>本部门未使用政府债券。</w:t>
      </w:r>
    </w:p>
    <w:p>
      <w:pPr>
        <w:keepNext w:val="0"/>
        <w:keepLines w:val="0"/>
        <w:pageBreakBefore w:val="0"/>
        <w:widowControl/>
        <w:numPr>
          <w:ilvl w:val="0"/>
          <w:numId w:val="3"/>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其他</w:t>
      </w:r>
    </w:p>
    <w:p>
      <w:pPr>
        <w:keepNext w:val="0"/>
        <w:keepLines w:val="0"/>
        <w:pageBreakBefore w:val="0"/>
        <w:widowControl/>
        <w:kinsoku/>
        <w:wordWrap/>
        <w:overflowPunct/>
        <w:topLinePunct w:val="0"/>
        <w:autoSpaceDE/>
        <w:autoSpaceDN/>
        <w:bidi w:val="0"/>
        <w:adjustRightInd/>
        <w:snapToGrid/>
        <w:spacing w:line="560" w:lineRule="exact"/>
        <w:ind w:firstLine="960" w:firstLineChars="3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无另需说明情况。</w:t>
      </w:r>
    </w:p>
    <w:p>
      <w:pPr>
        <w:keepNext w:val="0"/>
        <w:keepLines w:val="0"/>
        <w:pageBreakBefore w:val="0"/>
        <w:widowControl/>
        <w:kinsoku/>
        <w:wordWrap/>
        <w:overflowPunct/>
        <w:topLinePunct w:val="0"/>
        <w:autoSpaceDE/>
        <w:autoSpaceDN/>
        <w:bidi w:val="0"/>
        <w:adjustRightInd/>
        <w:snapToGrid/>
        <w:spacing w:before="157" w:beforeLines="50" w:line="560" w:lineRule="exact"/>
        <w:ind w:left="0" w:leftChars="0" w:firstLine="720" w:firstLineChars="200"/>
        <w:jc w:val="center"/>
        <w:textAlignment w:val="auto"/>
        <w:rPr>
          <w:rFonts w:hint="eastAsia" w:ascii="方正小标宋简体" w:hAnsi="方正小标宋简体" w:eastAsia="方正小标宋简体" w:cs="方正小标宋简体"/>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ind w:firstLine="636"/>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val="en-US" w:eastAsia="zh-CN"/>
        </w:rPr>
        <w:t>七、</w:t>
      </w:r>
      <w:r>
        <w:rPr>
          <w:rFonts w:hint="eastAsia" w:ascii="仿宋_GB2312" w:hAnsi="仿宋" w:eastAsia="仿宋_GB2312" w:cs="Times New Roman"/>
          <w:kern w:val="0"/>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hAnsi="仿宋" w:eastAsia="仿宋_GB2312" w:cs="Times New Roman"/>
          <w:kern w:val="0"/>
          <w:sz w:val="32"/>
          <w:szCs w:val="32"/>
          <w:lang w:eastAsia="zh-CN"/>
        </w:rPr>
        <w:t>。</w:t>
      </w:r>
    </w:p>
    <w:p>
      <w:pPr>
        <w:widowControl/>
        <w:spacing w:line="560" w:lineRule="exact"/>
        <w:ind w:firstLine="636"/>
        <w:rPr>
          <w:rFonts w:hint="eastAsia" w:ascii="仿宋_GB2312" w:hAnsi="仿宋" w:eastAsia="仿宋_GB2312" w:cs="Times New Roman"/>
          <w:kern w:val="0"/>
          <w:sz w:val="32"/>
          <w:szCs w:val="32"/>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469" w:beforeLines="150" w:line="560" w:lineRule="exact"/>
        <w:ind w:left="4152" w:leftChars="1520" w:hanging="960" w:hangingChars="300"/>
        <w:jc w:val="left"/>
        <w:textAlignment w:val="auto"/>
        <w:rPr>
          <w:rFonts w:hint="eastAsia" w:ascii="方正小标宋简体" w:hAnsi="楷体" w:eastAsia="方正小标宋简体"/>
          <w:kern w:val="0"/>
          <w:sz w:val="36"/>
          <w:szCs w:val="36"/>
        </w:rPr>
      </w:pPr>
      <w:r>
        <w:rPr>
          <w:rFonts w:hint="eastAsia" w:ascii="仿宋_GB2312" w:hAnsi="Times New Roman" w:eastAsia="仿宋_GB2312" w:cs="仿宋_GB2312"/>
          <w:kern w:val="2"/>
          <w:sz w:val="32"/>
          <w:szCs w:val="32"/>
          <w:lang w:val="en-US" w:eastAsia="zh-CN" w:bidi="ar"/>
        </w:rPr>
        <w:t>洪洞县明姜镇中心卫生院圣王分院</w:t>
      </w:r>
      <w:r>
        <w:rPr>
          <w:rFonts w:hint="eastAsia" w:ascii="仿宋_GB2312" w:hAnsi="仿宋" w:eastAsia="仿宋_GB2312" w:cs="Times New Roman"/>
          <w:b w:val="0"/>
          <w:bCs w:val="0"/>
          <w:kern w:val="0"/>
          <w:sz w:val="32"/>
          <w:szCs w:val="32"/>
          <w:lang w:val="en-US" w:eastAsia="zh-CN" w:bidi="ar-SA"/>
        </w:rPr>
        <w:t xml:space="preserve">                                  2022年2月17日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script"/>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ZHTK--GBK1-0">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435438"/>
    <w:multiLevelType w:val="singleLevel"/>
    <w:tmpl w:val="D2435438"/>
    <w:lvl w:ilvl="0" w:tentative="0">
      <w:start w:val="1"/>
      <w:numFmt w:val="chineseCounting"/>
      <w:suff w:val="space"/>
      <w:lvlText w:val="第%1部分"/>
      <w:lvlJc w:val="left"/>
      <w:rPr>
        <w:rFonts w:hint="eastAsia"/>
      </w:rPr>
    </w:lvl>
  </w:abstractNum>
  <w:abstractNum w:abstractNumId="1">
    <w:nsid w:val="40B4943B"/>
    <w:multiLevelType w:val="singleLevel"/>
    <w:tmpl w:val="40B4943B"/>
    <w:lvl w:ilvl="0" w:tentative="0">
      <w:start w:val="1"/>
      <w:numFmt w:val="chineseCounting"/>
      <w:suff w:val="nothing"/>
      <w:lvlText w:val="%1、"/>
      <w:lvlJc w:val="left"/>
      <w:rPr>
        <w:rFonts w:hint="eastAsia"/>
      </w:rPr>
    </w:lvl>
  </w:abstractNum>
  <w:abstractNum w:abstractNumId="2">
    <w:nsid w:val="6B0955EC"/>
    <w:multiLevelType w:val="singleLevel"/>
    <w:tmpl w:val="6B0955EC"/>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19C212E"/>
    <w:rsid w:val="03843E11"/>
    <w:rsid w:val="0842185D"/>
    <w:rsid w:val="0DF20642"/>
    <w:rsid w:val="1092303F"/>
    <w:rsid w:val="154010FB"/>
    <w:rsid w:val="166D03E5"/>
    <w:rsid w:val="17CA4AA4"/>
    <w:rsid w:val="192E33D1"/>
    <w:rsid w:val="1D772656"/>
    <w:rsid w:val="1EF45DBD"/>
    <w:rsid w:val="23A9660C"/>
    <w:rsid w:val="25D81CBD"/>
    <w:rsid w:val="2834778E"/>
    <w:rsid w:val="291005E0"/>
    <w:rsid w:val="2A455195"/>
    <w:rsid w:val="2D7918D9"/>
    <w:rsid w:val="2EEE6CA8"/>
    <w:rsid w:val="2FD22068"/>
    <w:rsid w:val="35300715"/>
    <w:rsid w:val="38596672"/>
    <w:rsid w:val="386F3AB4"/>
    <w:rsid w:val="3BE45B2D"/>
    <w:rsid w:val="3BE57EA5"/>
    <w:rsid w:val="3CFA3652"/>
    <w:rsid w:val="3E7143D5"/>
    <w:rsid w:val="41986B84"/>
    <w:rsid w:val="422265F6"/>
    <w:rsid w:val="47AB19BB"/>
    <w:rsid w:val="4A181F06"/>
    <w:rsid w:val="4C32593C"/>
    <w:rsid w:val="4C8447B9"/>
    <w:rsid w:val="4D49390B"/>
    <w:rsid w:val="4E1C2FCA"/>
    <w:rsid w:val="4FF97C19"/>
    <w:rsid w:val="502B532A"/>
    <w:rsid w:val="50F564C4"/>
    <w:rsid w:val="52A76352"/>
    <w:rsid w:val="52D27B9F"/>
    <w:rsid w:val="53ED379C"/>
    <w:rsid w:val="543D215E"/>
    <w:rsid w:val="583B2F56"/>
    <w:rsid w:val="59F4590F"/>
    <w:rsid w:val="5A124F88"/>
    <w:rsid w:val="5A230741"/>
    <w:rsid w:val="5BA85FEF"/>
    <w:rsid w:val="5F677B34"/>
    <w:rsid w:val="61101AA6"/>
    <w:rsid w:val="68380BB6"/>
    <w:rsid w:val="69D02B99"/>
    <w:rsid w:val="6C2C2C28"/>
    <w:rsid w:val="6C910A8B"/>
    <w:rsid w:val="6CDC2CFC"/>
    <w:rsid w:val="723E2669"/>
    <w:rsid w:val="72664117"/>
    <w:rsid w:val="76617192"/>
    <w:rsid w:val="789F0DB2"/>
    <w:rsid w:val="79C03657"/>
    <w:rsid w:val="7B672F52"/>
    <w:rsid w:val="7C777152"/>
    <w:rsid w:val="7E9E1B36"/>
    <w:rsid w:val="7F47354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Admin</cp:lastModifiedBy>
  <cp:lastPrinted>2022-02-18T04:51:00Z</cp:lastPrinted>
  <dcterms:modified xsi:type="dcterms:W3CDTF">2022-02-23T12:31:23Z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y fmtid="{D5CDD505-2E9C-101B-9397-08002B2CF9AE}" pid="3" name="ICV">
    <vt:lpwstr>1CAD01C8FE924460A45C850AAF94ABB2</vt:lpwstr>
  </property>
</Properties>
</file>