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申请不予批准告知书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（工作人员填写）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同志：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您于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日提交申请，经调查核实，根据《社会救助暂行办法》等文件规定，您家庭/本人因：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□共同生活的家庭成员人均收入为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元/月，超过本县最低生活保障标准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□家庭财产状况不符合相关财产状况规定，具体表现为：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□共同生活的家庭成员有下列行为：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textAlignment w:val="auto"/>
        <w:rPr>
          <w:rFonts w:hint="default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none"/>
          <w:lang w:val="en-US" w:eastAsia="zh-CN"/>
        </w:rPr>
        <w:t>不符合最低生活保障条件，不予确认。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□终止审核确认程序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若不服本告知书，可自收到本告知书之日起15日内向本单位提出复查申请。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受送达人：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6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jc w:val="right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综合便民服务中心（盖章）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2" w:lineRule="exact"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24"/>
          <w:szCs w:val="24"/>
          <w:lang w:val="en-US" w:eastAsia="zh-CN"/>
        </w:rPr>
        <w:t>（本决定书一式两份，综合便民服务中心、受送达人各一份）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613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2024-01-10T13:21:49Z</dcterms:created>
  <dc:creator>777</dc:creator>
  <cp:lastModifiedBy>777</cp:lastModifiedBy>
  <dcterms:modified xsi:type="dcterms:W3CDTF">2024-01-10T13:22:14Z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FA8DED8DAD74497A916DAC70DB3BE1A3_12</vt:lpwstr>
  </property>
</Properties>
</file>