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"/>
        <w:gridCol w:w="366"/>
        <w:gridCol w:w="309"/>
        <w:gridCol w:w="7514"/>
        <w:gridCol w:w="4521"/>
        <w:gridCol w:w="902"/>
        <w:gridCol w:w="591"/>
        <w:gridCol w:w="478"/>
        <w:gridCol w:w="253"/>
        <w:gridCol w:w="309"/>
        <w:gridCol w:w="196"/>
        <w:gridCol w:w="253"/>
        <w:gridCol w:w="197"/>
        <w:gridCol w:w="197"/>
      </w:tblGrid>
      <w:tr w14:paraId="5CDFD0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1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 </w:t>
            </w:r>
            <w:r>
              <w:rPr>
                <w:rFonts w:ascii="黑体" w:hAnsi="宋体" w:eastAsia="黑体" w:cs="黑体"/>
                <w:kern w:val="0"/>
                <w:sz w:val="13"/>
                <w:szCs w:val="13"/>
                <w:lang w:val="en-US" w:eastAsia="zh-CN" w:bidi="ar"/>
              </w:rPr>
              <w:t>洪洞县财政预决算领域基层政务公开标准目录（四）</w:t>
            </w:r>
          </w:p>
        </w:tc>
      </w:tr>
      <w:tr w14:paraId="3DDB6B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D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4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6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公开内容（要素）及要求 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A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公开依据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0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公开时限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35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公开主体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F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C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公开对象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8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公开方式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9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公开层级</w:t>
            </w:r>
          </w:p>
        </w:tc>
      </w:tr>
      <w:tr w14:paraId="38D0F4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96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3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一级事项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EE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二级事项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F2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B0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45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54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73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CB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全社会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9A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特定群体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9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主动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7C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依申请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8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2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乡级</w:t>
            </w:r>
          </w:p>
        </w:tc>
      </w:tr>
      <w:tr w14:paraId="1570F2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83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C6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财政预决算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11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部门决算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CF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BE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《中华人民共和国预算法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sz w:val="13"/>
                <w:szCs w:val="13"/>
              </w:rPr>
              <w:t>财政部关于印发〈地方预决算公开操作规程〉的通知》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（财预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〔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〕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143号）等法律法规和文件规定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B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本级政府财政部门批复后20日内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3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洪洞县各级预算部门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1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政府门户网站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D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30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CD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B2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2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8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1348BA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DC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DD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98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B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17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19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DC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A2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D9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33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7E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B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2C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B2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5B85A4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81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CB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89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7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10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65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67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72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35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54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5B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77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D1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9B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30BB33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2B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EB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E1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30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般公共预算“三公”经费支出表按“因公出国（境）费”“公务用车购置费及运行费”“公务接待费”公开，其中，“公务用车购置及运行费”应当细化到“公务用车购置费，”“公务用车运行费”两个项目，并对增减变化情况进行说明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C2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D2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E4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F4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2C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48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57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A2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38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19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1E9949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62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FA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89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1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本部门职责、机构设置情况、预算收支增减变化、机关运行经费安排以及政府采购（主要包括部门政府采购预算总金额和货物、工程 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10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28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BB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28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4D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55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61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A8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40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37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21DCEB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03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5E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3E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4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E0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FC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CE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8F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09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D2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90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97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D6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05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01D0F"/>
    <w:rsid w:val="54DC146C"/>
    <w:rsid w:val="6D8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