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Layout w:type="autofit"/>
        <w:tblCellMar>
          <w:top w:w="0" w:type="dxa"/>
          <w:left w:w="0" w:type="dxa"/>
          <w:bottom w:w="0" w:type="dxa"/>
          <w:right w:w="0" w:type="dxa"/>
        </w:tblCellMar>
      </w:tblPr>
      <w:tblGrid>
        <w:gridCol w:w="233"/>
        <w:gridCol w:w="795"/>
        <w:gridCol w:w="983"/>
        <w:gridCol w:w="6826"/>
        <w:gridCol w:w="2471"/>
        <w:gridCol w:w="1324"/>
        <w:gridCol w:w="1545"/>
        <w:gridCol w:w="421"/>
        <w:gridCol w:w="327"/>
        <w:gridCol w:w="421"/>
        <w:gridCol w:w="234"/>
        <w:gridCol w:w="234"/>
        <w:gridCol w:w="234"/>
        <w:gridCol w:w="234"/>
      </w:tblGrid>
      <w:tr w14:paraId="611547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tblCellMar>
            <w:top w:w="0" w:type="dxa"/>
            <w:left w:w="0" w:type="dxa"/>
            <w:bottom w:w="0" w:type="dxa"/>
            <w:right w:w="0" w:type="dxa"/>
          </w:tblCellMar>
        </w:tblPrEx>
        <w:trPr>
          <w:trHeight w:val="795" w:hRule="atLeast"/>
          <w:jc w:val="center"/>
        </w:trPr>
        <w:tc>
          <w:tcPr>
            <w:tcW w:w="0" w:type="auto"/>
            <w:gridSpan w:val="14"/>
            <w:tcBorders>
              <w:tl2br w:val="nil"/>
              <w:tr2bl w:val="nil"/>
            </w:tcBorders>
            <w:shd w:val="clear"/>
            <w:vAlign w:val="center"/>
          </w:tcPr>
          <w:p w14:paraId="240FE934">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b/>
                <w:bCs/>
                <w:kern w:val="0"/>
                <w:sz w:val="36"/>
                <w:szCs w:val="36"/>
                <w:bdr w:val="none" w:color="auto" w:sz="0" w:space="0"/>
                <w:lang w:val="en-US" w:eastAsia="zh-CN" w:bidi="ar"/>
              </w:rPr>
              <w:t>洪洞县住建局市政服务领域基层政务公开标准目录</w:t>
            </w:r>
          </w:p>
        </w:tc>
      </w:tr>
      <w:tr w14:paraId="54DB5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70" w:hRule="atLeast"/>
          <w:jc w:val="center"/>
        </w:trPr>
        <w:tc>
          <w:tcPr>
            <w:tcW w:w="0" w:type="auto"/>
            <w:vMerge w:val="restart"/>
            <w:tcBorders>
              <w:tl2br w:val="nil"/>
              <w:tr2bl w:val="nil"/>
            </w:tcBorders>
            <w:shd w:val="clear"/>
            <w:vAlign w:val="center"/>
          </w:tcPr>
          <w:p w14:paraId="66A80D24">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序号</w:t>
            </w:r>
          </w:p>
        </w:tc>
        <w:tc>
          <w:tcPr>
            <w:tcW w:w="0" w:type="auto"/>
            <w:gridSpan w:val="2"/>
            <w:tcBorders>
              <w:tl2br w:val="nil"/>
              <w:tr2bl w:val="nil"/>
            </w:tcBorders>
            <w:shd w:val="clear"/>
            <w:vAlign w:val="center"/>
          </w:tcPr>
          <w:p w14:paraId="3701FA2F">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公开事项</w:t>
            </w:r>
          </w:p>
        </w:tc>
        <w:tc>
          <w:tcPr>
            <w:tcW w:w="0" w:type="auto"/>
            <w:vMerge w:val="restart"/>
            <w:tcBorders>
              <w:tl2br w:val="nil"/>
              <w:tr2bl w:val="nil"/>
            </w:tcBorders>
            <w:shd w:val="clear"/>
            <w:vAlign w:val="center"/>
          </w:tcPr>
          <w:p w14:paraId="516DD8BB">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w:t>
            </w:r>
            <w:bookmarkStart w:id="0" w:name="_GoBack"/>
            <w:bookmarkEnd w:id="0"/>
            <w:r>
              <w:rPr>
                <w:rFonts w:ascii="宋体" w:hAnsi="宋体" w:eastAsia="宋体" w:cs="宋体"/>
                <w:kern w:val="0"/>
                <w:sz w:val="13"/>
                <w:szCs w:val="13"/>
                <w:bdr w:val="none" w:color="auto" w:sz="0" w:space="0"/>
                <w:lang w:val="en-US" w:eastAsia="zh-CN" w:bidi="ar"/>
              </w:rPr>
              <w:t>开内容（要素）</w:t>
            </w:r>
          </w:p>
        </w:tc>
        <w:tc>
          <w:tcPr>
            <w:tcW w:w="0" w:type="auto"/>
            <w:vMerge w:val="restart"/>
            <w:tcBorders>
              <w:tl2br w:val="nil"/>
              <w:tr2bl w:val="nil"/>
            </w:tcBorders>
            <w:shd w:val="clear"/>
            <w:vAlign w:val="center"/>
          </w:tcPr>
          <w:p w14:paraId="5B840EBB">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公开依据</w:t>
            </w:r>
          </w:p>
        </w:tc>
        <w:tc>
          <w:tcPr>
            <w:tcW w:w="0" w:type="auto"/>
            <w:vMerge w:val="restart"/>
            <w:tcBorders>
              <w:tl2br w:val="nil"/>
              <w:tr2bl w:val="nil"/>
            </w:tcBorders>
            <w:shd w:val="clear"/>
            <w:vAlign w:val="center"/>
          </w:tcPr>
          <w:p w14:paraId="5AC516BA">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公开时限</w:t>
            </w:r>
          </w:p>
        </w:tc>
        <w:tc>
          <w:tcPr>
            <w:tcW w:w="0" w:type="auto"/>
            <w:vMerge w:val="restart"/>
            <w:tcBorders>
              <w:tl2br w:val="nil"/>
              <w:tr2bl w:val="nil"/>
            </w:tcBorders>
            <w:shd w:val="clear"/>
            <w:vAlign w:val="center"/>
          </w:tcPr>
          <w:p w14:paraId="7F6AEBE2">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公开主体</w:t>
            </w:r>
          </w:p>
        </w:tc>
        <w:tc>
          <w:tcPr>
            <w:tcW w:w="0" w:type="auto"/>
            <w:vMerge w:val="restart"/>
            <w:tcBorders>
              <w:tl2br w:val="nil"/>
              <w:tr2bl w:val="nil"/>
            </w:tcBorders>
            <w:shd w:val="clear"/>
            <w:vAlign w:val="center"/>
          </w:tcPr>
          <w:p w14:paraId="5CB7AF0E">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公开渠道</w:t>
            </w:r>
          </w:p>
        </w:tc>
        <w:tc>
          <w:tcPr>
            <w:tcW w:w="0" w:type="auto"/>
            <w:gridSpan w:val="2"/>
            <w:tcBorders>
              <w:tl2br w:val="nil"/>
              <w:tr2bl w:val="nil"/>
            </w:tcBorders>
            <w:shd w:val="clear"/>
            <w:vAlign w:val="center"/>
          </w:tcPr>
          <w:p w14:paraId="2AE47FED">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公开对象</w:t>
            </w:r>
          </w:p>
        </w:tc>
        <w:tc>
          <w:tcPr>
            <w:tcW w:w="0" w:type="auto"/>
            <w:gridSpan w:val="2"/>
            <w:tcBorders>
              <w:tl2br w:val="nil"/>
              <w:tr2bl w:val="nil"/>
            </w:tcBorders>
            <w:shd w:val="clear"/>
            <w:vAlign w:val="center"/>
          </w:tcPr>
          <w:p w14:paraId="38A9B052">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公开方式</w:t>
            </w:r>
          </w:p>
        </w:tc>
        <w:tc>
          <w:tcPr>
            <w:tcW w:w="0" w:type="auto"/>
            <w:gridSpan w:val="2"/>
            <w:tcBorders>
              <w:tl2br w:val="nil"/>
              <w:tr2bl w:val="nil"/>
            </w:tcBorders>
            <w:shd w:val="clear"/>
            <w:vAlign w:val="center"/>
          </w:tcPr>
          <w:p w14:paraId="379C0DC8">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公开层级</w:t>
            </w:r>
          </w:p>
        </w:tc>
      </w:tr>
      <w:tr w14:paraId="6AD91C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615" w:hRule="atLeast"/>
          <w:jc w:val="center"/>
        </w:trPr>
        <w:tc>
          <w:tcPr>
            <w:tcW w:w="0" w:type="auto"/>
            <w:vMerge w:val="continue"/>
            <w:tcBorders>
              <w:tl2br w:val="nil"/>
              <w:tr2bl w:val="nil"/>
            </w:tcBorders>
            <w:shd w:val="clear"/>
            <w:vAlign w:val="center"/>
          </w:tcPr>
          <w:p w14:paraId="1003B7DB">
            <w:pPr>
              <w:jc w:val="center"/>
              <w:rPr>
                <w:rFonts w:hint="eastAsia" w:ascii="宋体"/>
                <w:sz w:val="13"/>
                <w:szCs w:val="13"/>
              </w:rPr>
            </w:pPr>
          </w:p>
        </w:tc>
        <w:tc>
          <w:tcPr>
            <w:tcW w:w="0" w:type="auto"/>
            <w:tcBorders>
              <w:tl2br w:val="nil"/>
              <w:tr2bl w:val="nil"/>
            </w:tcBorders>
            <w:shd w:val="clear"/>
            <w:vAlign w:val="center"/>
          </w:tcPr>
          <w:p w14:paraId="75EC2B32">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一级事项</w:t>
            </w:r>
          </w:p>
        </w:tc>
        <w:tc>
          <w:tcPr>
            <w:tcW w:w="0" w:type="auto"/>
            <w:tcBorders>
              <w:tl2br w:val="nil"/>
              <w:tr2bl w:val="nil"/>
            </w:tcBorders>
            <w:shd w:val="clear"/>
            <w:vAlign w:val="center"/>
          </w:tcPr>
          <w:p w14:paraId="46E4EAA4">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二级事项</w:t>
            </w:r>
          </w:p>
        </w:tc>
        <w:tc>
          <w:tcPr>
            <w:tcW w:w="0" w:type="auto"/>
            <w:vMerge w:val="continue"/>
            <w:tcBorders>
              <w:tl2br w:val="nil"/>
              <w:tr2bl w:val="nil"/>
            </w:tcBorders>
            <w:shd w:val="clear"/>
            <w:vAlign w:val="center"/>
          </w:tcPr>
          <w:p w14:paraId="2EAA14AC">
            <w:pPr>
              <w:jc w:val="center"/>
              <w:rPr>
                <w:rFonts w:hint="eastAsia" w:ascii="宋体"/>
                <w:sz w:val="13"/>
                <w:szCs w:val="13"/>
              </w:rPr>
            </w:pPr>
          </w:p>
        </w:tc>
        <w:tc>
          <w:tcPr>
            <w:tcW w:w="0" w:type="auto"/>
            <w:vMerge w:val="continue"/>
            <w:tcBorders>
              <w:tl2br w:val="nil"/>
              <w:tr2bl w:val="nil"/>
            </w:tcBorders>
            <w:shd w:val="clear"/>
            <w:vAlign w:val="center"/>
          </w:tcPr>
          <w:p w14:paraId="012B5CD4">
            <w:pPr>
              <w:jc w:val="center"/>
              <w:rPr>
                <w:rFonts w:hint="eastAsia" w:ascii="宋体"/>
                <w:sz w:val="13"/>
                <w:szCs w:val="13"/>
              </w:rPr>
            </w:pPr>
          </w:p>
        </w:tc>
        <w:tc>
          <w:tcPr>
            <w:tcW w:w="0" w:type="auto"/>
            <w:vMerge w:val="continue"/>
            <w:tcBorders>
              <w:tl2br w:val="nil"/>
              <w:tr2bl w:val="nil"/>
            </w:tcBorders>
            <w:shd w:val="clear"/>
            <w:vAlign w:val="center"/>
          </w:tcPr>
          <w:p w14:paraId="428588A2">
            <w:pPr>
              <w:jc w:val="center"/>
              <w:rPr>
                <w:rFonts w:hint="eastAsia" w:ascii="宋体"/>
                <w:sz w:val="13"/>
                <w:szCs w:val="13"/>
              </w:rPr>
            </w:pPr>
          </w:p>
        </w:tc>
        <w:tc>
          <w:tcPr>
            <w:tcW w:w="0" w:type="auto"/>
            <w:vMerge w:val="continue"/>
            <w:tcBorders>
              <w:tl2br w:val="nil"/>
              <w:tr2bl w:val="nil"/>
            </w:tcBorders>
            <w:shd w:val="clear"/>
            <w:vAlign w:val="center"/>
          </w:tcPr>
          <w:p w14:paraId="35EE89C7">
            <w:pPr>
              <w:jc w:val="center"/>
              <w:rPr>
                <w:rFonts w:hint="eastAsia" w:ascii="宋体"/>
                <w:sz w:val="13"/>
                <w:szCs w:val="13"/>
              </w:rPr>
            </w:pPr>
          </w:p>
        </w:tc>
        <w:tc>
          <w:tcPr>
            <w:tcW w:w="0" w:type="auto"/>
            <w:vMerge w:val="continue"/>
            <w:tcBorders>
              <w:tl2br w:val="nil"/>
              <w:tr2bl w:val="nil"/>
            </w:tcBorders>
            <w:shd w:val="clear"/>
            <w:vAlign w:val="center"/>
          </w:tcPr>
          <w:p w14:paraId="5DE7D2BC">
            <w:pPr>
              <w:jc w:val="center"/>
              <w:rPr>
                <w:rFonts w:hint="eastAsia" w:ascii="宋体"/>
                <w:sz w:val="13"/>
                <w:szCs w:val="13"/>
              </w:rPr>
            </w:pPr>
          </w:p>
        </w:tc>
        <w:tc>
          <w:tcPr>
            <w:tcW w:w="0" w:type="auto"/>
            <w:tcBorders>
              <w:tl2br w:val="nil"/>
              <w:tr2bl w:val="nil"/>
            </w:tcBorders>
            <w:shd w:val="clear"/>
            <w:vAlign w:val="center"/>
          </w:tcPr>
          <w:p w14:paraId="2BE914FC">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全社会</w:t>
            </w:r>
          </w:p>
        </w:tc>
        <w:tc>
          <w:tcPr>
            <w:tcW w:w="0" w:type="auto"/>
            <w:tcBorders>
              <w:tl2br w:val="nil"/>
              <w:tr2bl w:val="nil"/>
            </w:tcBorders>
            <w:shd w:val="clear"/>
            <w:vAlign w:val="center"/>
          </w:tcPr>
          <w:p w14:paraId="0ECA1B84">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特定群体</w:t>
            </w:r>
          </w:p>
        </w:tc>
        <w:tc>
          <w:tcPr>
            <w:tcW w:w="0" w:type="auto"/>
            <w:tcBorders>
              <w:tl2br w:val="nil"/>
              <w:tr2bl w:val="nil"/>
            </w:tcBorders>
            <w:shd w:val="clear"/>
            <w:vAlign w:val="center"/>
          </w:tcPr>
          <w:p w14:paraId="66ADBFCC">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主动</w:t>
            </w:r>
          </w:p>
        </w:tc>
        <w:tc>
          <w:tcPr>
            <w:tcW w:w="0" w:type="auto"/>
            <w:tcBorders>
              <w:tl2br w:val="nil"/>
              <w:tr2bl w:val="nil"/>
            </w:tcBorders>
            <w:shd w:val="clear"/>
            <w:vAlign w:val="center"/>
          </w:tcPr>
          <w:p w14:paraId="60444797">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申请</w:t>
            </w:r>
          </w:p>
        </w:tc>
        <w:tc>
          <w:tcPr>
            <w:tcW w:w="0" w:type="auto"/>
            <w:tcBorders>
              <w:tl2br w:val="nil"/>
              <w:tr2bl w:val="nil"/>
            </w:tcBorders>
            <w:shd w:val="clear"/>
            <w:vAlign w:val="center"/>
          </w:tcPr>
          <w:p w14:paraId="209D3381">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县级</w:t>
            </w:r>
          </w:p>
        </w:tc>
        <w:tc>
          <w:tcPr>
            <w:tcW w:w="0" w:type="auto"/>
            <w:tcBorders>
              <w:tl2br w:val="nil"/>
              <w:tr2bl w:val="nil"/>
            </w:tcBorders>
            <w:shd w:val="clear"/>
            <w:vAlign w:val="center"/>
          </w:tcPr>
          <w:p w14:paraId="7BF042DB">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乡级</w:t>
            </w:r>
          </w:p>
        </w:tc>
      </w:tr>
      <w:tr w14:paraId="339BAE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3961" w:hRule="atLeast"/>
          <w:jc w:val="center"/>
        </w:trPr>
        <w:tc>
          <w:tcPr>
            <w:tcW w:w="0" w:type="auto"/>
            <w:tcBorders>
              <w:tl2br w:val="nil"/>
              <w:tr2bl w:val="nil"/>
            </w:tcBorders>
            <w:shd w:val="clear"/>
            <w:vAlign w:val="center"/>
          </w:tcPr>
          <w:p w14:paraId="35450E4D">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1</w:t>
            </w:r>
          </w:p>
        </w:tc>
        <w:tc>
          <w:tcPr>
            <w:tcW w:w="0" w:type="auto"/>
            <w:tcBorders>
              <w:tl2br w:val="nil"/>
              <w:tr2bl w:val="nil"/>
            </w:tcBorders>
            <w:shd w:val="clear"/>
            <w:vAlign w:val="center"/>
          </w:tcPr>
          <w:p w14:paraId="4591CA9F">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城市园林绿化管理</w:t>
            </w:r>
          </w:p>
        </w:tc>
        <w:tc>
          <w:tcPr>
            <w:tcW w:w="0" w:type="auto"/>
            <w:tcBorders>
              <w:tl2br w:val="nil"/>
              <w:tr2bl w:val="nil"/>
            </w:tcBorders>
            <w:shd w:val="clear"/>
            <w:vAlign w:val="center"/>
          </w:tcPr>
          <w:p w14:paraId="0D68266F">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城市园林绿化行政处罚</w:t>
            </w:r>
          </w:p>
        </w:tc>
        <w:tc>
          <w:tcPr>
            <w:tcW w:w="0" w:type="auto"/>
            <w:tcBorders>
              <w:tl2br w:val="nil"/>
              <w:tr2bl w:val="nil"/>
            </w:tcBorders>
            <w:shd w:val="clear"/>
            <w:vAlign w:val="center"/>
          </w:tcPr>
          <w:p w14:paraId="2528E20E">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对违规占用城市绿化用地砍伐城市树木迁移古树名木等城市绿化违法违规行为的处罚内容、处罚依据、处罚流程和实施机关。对城市绿化违法违规行为的处罚结果。</w:t>
            </w:r>
          </w:p>
        </w:tc>
        <w:tc>
          <w:tcPr>
            <w:tcW w:w="0" w:type="auto"/>
            <w:tcBorders>
              <w:tl2br w:val="nil"/>
              <w:tr2bl w:val="nil"/>
            </w:tcBorders>
            <w:shd w:val="clear"/>
            <w:vAlign w:val="center"/>
          </w:tcPr>
          <w:p w14:paraId="2629FB93">
            <w:pPr>
              <w:keepNext w:val="0"/>
              <w:keepLines w:val="0"/>
              <w:widowControl/>
              <w:suppressLineNumbers w:val="0"/>
              <w:spacing w:before="0" w:beforeAutospacing="0" w:after="0" w:afterAutospacing="0"/>
              <w:ind w:left="0" w:right="0"/>
              <w:jc w:val="center"/>
              <w:rPr>
                <w:rFonts w:hint="default"/>
                <w:sz w:val="13"/>
                <w:szCs w:val="13"/>
                <w:lang w:val="en-US"/>
              </w:rPr>
            </w:pPr>
            <w:r>
              <w:rPr>
                <w:rFonts w:ascii="宋体" w:hAnsi="宋体" w:eastAsia="宋体" w:cs="宋体"/>
                <w:kern w:val="0"/>
                <w:sz w:val="13"/>
                <w:szCs w:val="13"/>
                <w:bdr w:val="none" w:color="auto" w:sz="0" w:space="0"/>
                <w:lang w:val="en-US" w:eastAsia="zh-CN" w:bidi="ar"/>
              </w:rPr>
              <w:t>《中华人民共和国政府信息公开条例》 《城市绿化条例</w:t>
            </w:r>
            <w:r>
              <w:rPr>
                <w:rFonts w:hint="eastAsia"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64E6AC49">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信息形成（变更）20个工作日</w:t>
            </w:r>
          </w:p>
        </w:tc>
        <w:tc>
          <w:tcPr>
            <w:tcW w:w="0" w:type="auto"/>
            <w:tcBorders>
              <w:tl2br w:val="nil"/>
              <w:tr2bl w:val="nil"/>
            </w:tcBorders>
            <w:shd w:val="clear"/>
            <w:vAlign w:val="center"/>
          </w:tcPr>
          <w:p w14:paraId="2D2BFB40">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城市人民政府城市绿化行政主管部门</w:t>
            </w:r>
          </w:p>
        </w:tc>
        <w:tc>
          <w:tcPr>
            <w:tcW w:w="0" w:type="auto"/>
            <w:tcBorders>
              <w:tl2br w:val="nil"/>
              <w:tr2bl w:val="nil"/>
            </w:tcBorders>
            <w:shd w:val="clear"/>
            <w:vAlign w:val="center"/>
          </w:tcPr>
          <w:p w14:paraId="5AAB86EB">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政府网站</w:t>
            </w:r>
          </w:p>
        </w:tc>
        <w:tc>
          <w:tcPr>
            <w:tcW w:w="0" w:type="auto"/>
            <w:tcBorders>
              <w:tl2br w:val="nil"/>
              <w:tr2bl w:val="nil"/>
            </w:tcBorders>
            <w:shd w:val="clear"/>
            <w:vAlign w:val="center"/>
          </w:tcPr>
          <w:p w14:paraId="6D1F93E7">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573281A6">
            <w:pPr>
              <w:keepNext w:val="0"/>
              <w:keepLines w:val="0"/>
              <w:widowControl/>
              <w:suppressLineNumbers w:val="0"/>
              <w:spacing w:before="0" w:beforeAutospacing="0" w:after="0" w:afterAutospacing="0"/>
              <w:ind w:left="0" w:right="0"/>
              <w:jc w:val="center"/>
              <w:rPr>
                <w:sz w:val="13"/>
                <w:szCs w:val="13"/>
              </w:rPr>
            </w:pPr>
          </w:p>
        </w:tc>
        <w:tc>
          <w:tcPr>
            <w:tcW w:w="0" w:type="auto"/>
            <w:tcBorders>
              <w:tl2br w:val="nil"/>
              <w:tr2bl w:val="nil"/>
            </w:tcBorders>
            <w:shd w:val="clear"/>
            <w:vAlign w:val="center"/>
          </w:tcPr>
          <w:p w14:paraId="572AD5C7">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16171356">
            <w:pPr>
              <w:keepNext w:val="0"/>
              <w:keepLines w:val="0"/>
              <w:widowControl/>
              <w:suppressLineNumbers w:val="0"/>
              <w:spacing w:before="0" w:beforeAutospacing="0" w:after="0" w:afterAutospacing="0"/>
              <w:ind w:left="0" w:right="0"/>
              <w:jc w:val="center"/>
              <w:rPr>
                <w:sz w:val="13"/>
                <w:szCs w:val="13"/>
              </w:rPr>
            </w:pPr>
          </w:p>
        </w:tc>
        <w:tc>
          <w:tcPr>
            <w:tcW w:w="0" w:type="auto"/>
            <w:tcBorders>
              <w:tl2br w:val="nil"/>
              <w:tr2bl w:val="nil"/>
            </w:tcBorders>
            <w:shd w:val="clear"/>
            <w:vAlign w:val="center"/>
          </w:tcPr>
          <w:p w14:paraId="0D6B1A0D">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w:t>
            </w:r>
          </w:p>
        </w:tc>
        <w:tc>
          <w:tcPr>
            <w:tcW w:w="0" w:type="auto"/>
            <w:tcBorders>
              <w:tl2br w:val="nil"/>
              <w:tr2bl w:val="nil"/>
            </w:tcBorders>
            <w:shd w:val="clear"/>
            <w:vAlign w:val="center"/>
          </w:tcPr>
          <w:p w14:paraId="08209BDF">
            <w:pPr>
              <w:keepNext w:val="0"/>
              <w:keepLines w:val="0"/>
              <w:widowControl/>
              <w:suppressLineNumbers w:val="0"/>
              <w:spacing w:before="0" w:beforeAutospacing="0" w:after="0" w:afterAutospacing="0"/>
              <w:ind w:left="0" w:right="0"/>
              <w:jc w:val="center"/>
              <w:rPr>
                <w:sz w:val="13"/>
                <w:szCs w:val="13"/>
              </w:rPr>
            </w:pPr>
            <w:r>
              <w:rPr>
                <w:rFonts w:ascii="宋体" w:hAnsi="宋体" w:eastAsia="宋体" w:cs="宋体"/>
                <w:kern w:val="0"/>
                <w:sz w:val="13"/>
                <w:szCs w:val="13"/>
                <w:bdr w:val="none" w:color="auto" w:sz="0" w:space="0"/>
                <w:lang w:val="en-US" w:eastAsia="zh-CN" w:bidi="ar"/>
              </w:rPr>
              <w:t>√</w:t>
            </w:r>
          </w:p>
        </w:tc>
      </w:tr>
    </w:tbl>
    <w:p w14:paraId="56D80CB0">
      <w:pPr>
        <w:rPr>
          <w:rFonts w:hint="eastAsia" w:eastAsiaTheme="minorEastAsia"/>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01D0F"/>
    <w:rsid w:val="67FA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2025-03-13T02:44:22Z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