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法人或者其他组织需要利用属于国家秘密的基础测绘成果审批廉政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/>
        </w:rPr>
      </w:pPr>
      <w:bookmarkStart w:id="0" w:name="_GoBack"/>
      <w:bookmarkEnd w:id="0"/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6F059B7"/>
    <w:rsid w:val="0F7A76E0"/>
    <w:rsid w:val="11641FDA"/>
    <w:rsid w:val="11956F4E"/>
    <w:rsid w:val="1E2817EF"/>
    <w:rsid w:val="2B30684C"/>
    <w:rsid w:val="41881B1C"/>
    <w:rsid w:val="451E1A6F"/>
    <w:rsid w:val="48F34A09"/>
    <w:rsid w:val="49B0717C"/>
    <w:rsid w:val="4A8D2D03"/>
    <w:rsid w:val="4ED03775"/>
    <w:rsid w:val="50B04C8D"/>
    <w:rsid w:val="51730A10"/>
    <w:rsid w:val="56B04EED"/>
    <w:rsid w:val="614346C0"/>
    <w:rsid w:val="616A77C6"/>
    <w:rsid w:val="63510B85"/>
    <w:rsid w:val="65F847B5"/>
    <w:rsid w:val="6E10663E"/>
    <w:rsid w:val="710472A6"/>
    <w:rsid w:val="71406A3F"/>
    <w:rsid w:val="721C6A78"/>
    <w:rsid w:val="794F7DF0"/>
    <w:rsid w:val="7B34239F"/>
    <w:rsid w:val="7F05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2021-05-31T07:33:36Z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9E2349B4AAF9405DADBE42C669B2DD91</vt:lpwstr>
  </property>
</Properties>
</file>