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C1" w:rsidRDefault="00B16EC1" w:rsidP="00213C3F">
      <w:pPr>
        <w:ind w:firstLineChars="200" w:firstLine="960"/>
        <w:jc w:val="center"/>
        <w:rPr>
          <w:rFonts w:asciiTheme="minorEastAsia" w:hAnsiTheme="minorEastAsia"/>
          <w:color w:val="000000" w:themeColor="text1"/>
          <w:sz w:val="48"/>
          <w:szCs w:val="48"/>
        </w:rPr>
      </w:pPr>
    </w:p>
    <w:p w:rsidR="00B16EC1" w:rsidRDefault="00B16EC1" w:rsidP="00213C3F">
      <w:pPr>
        <w:ind w:firstLineChars="200" w:firstLine="960"/>
        <w:jc w:val="center"/>
        <w:rPr>
          <w:rFonts w:asciiTheme="minorEastAsia" w:hAnsiTheme="minorEastAsia"/>
          <w:color w:val="000000" w:themeColor="text1"/>
          <w:sz w:val="48"/>
          <w:szCs w:val="48"/>
        </w:rPr>
      </w:pPr>
    </w:p>
    <w:p w:rsidR="00B16EC1" w:rsidRDefault="00B16EC1" w:rsidP="00213C3F">
      <w:pPr>
        <w:ind w:firstLineChars="200" w:firstLine="960"/>
        <w:jc w:val="center"/>
        <w:rPr>
          <w:rFonts w:asciiTheme="minorEastAsia" w:hAnsiTheme="minorEastAsia"/>
          <w:color w:val="000000" w:themeColor="text1"/>
          <w:sz w:val="48"/>
          <w:szCs w:val="48"/>
        </w:rPr>
      </w:pPr>
    </w:p>
    <w:p w:rsidR="00B16EC1" w:rsidRDefault="00B16EC1" w:rsidP="00213C3F">
      <w:pPr>
        <w:ind w:firstLineChars="200" w:firstLine="960"/>
        <w:jc w:val="center"/>
        <w:rPr>
          <w:rFonts w:asciiTheme="minorEastAsia" w:hAnsiTheme="minorEastAsia"/>
          <w:color w:val="000000" w:themeColor="text1"/>
          <w:sz w:val="48"/>
          <w:szCs w:val="48"/>
        </w:rPr>
      </w:pPr>
    </w:p>
    <w:p w:rsidR="00B16EC1" w:rsidRDefault="00B16EC1" w:rsidP="00213C3F">
      <w:pPr>
        <w:ind w:firstLineChars="200" w:firstLine="960"/>
        <w:jc w:val="center"/>
        <w:rPr>
          <w:rFonts w:asciiTheme="minorEastAsia" w:hAnsiTheme="minorEastAsia"/>
          <w:color w:val="000000" w:themeColor="text1"/>
          <w:sz w:val="48"/>
          <w:szCs w:val="48"/>
        </w:rPr>
      </w:pPr>
    </w:p>
    <w:p w:rsidR="00B16EC1" w:rsidRDefault="00B16EC1" w:rsidP="00213C3F">
      <w:pPr>
        <w:ind w:firstLineChars="200" w:firstLine="960"/>
        <w:jc w:val="center"/>
        <w:rPr>
          <w:rFonts w:asciiTheme="minorEastAsia" w:hAnsiTheme="minorEastAsia"/>
          <w:color w:val="000000" w:themeColor="text1"/>
          <w:sz w:val="48"/>
          <w:szCs w:val="48"/>
        </w:rPr>
      </w:pPr>
    </w:p>
    <w:p w:rsidR="00B16EC1" w:rsidRDefault="00B16EC1" w:rsidP="00213C3F">
      <w:pPr>
        <w:ind w:firstLineChars="200" w:firstLine="960"/>
        <w:jc w:val="center"/>
        <w:rPr>
          <w:rFonts w:asciiTheme="minorEastAsia" w:hAnsiTheme="minorEastAsia"/>
          <w:color w:val="000000" w:themeColor="text1"/>
          <w:sz w:val="48"/>
          <w:szCs w:val="48"/>
        </w:rPr>
      </w:pPr>
    </w:p>
    <w:p w:rsidR="00B16EC1" w:rsidRDefault="00B16EC1" w:rsidP="00213C3F">
      <w:pPr>
        <w:ind w:firstLineChars="200" w:firstLine="960"/>
        <w:jc w:val="center"/>
        <w:rPr>
          <w:rFonts w:asciiTheme="minorEastAsia" w:hAnsiTheme="minorEastAsia"/>
          <w:color w:val="000000" w:themeColor="text1"/>
          <w:sz w:val="48"/>
          <w:szCs w:val="48"/>
        </w:rPr>
      </w:pPr>
    </w:p>
    <w:p w:rsidR="00A51477" w:rsidRDefault="000627B5" w:rsidP="006F1E69">
      <w:pPr>
        <w:ind w:firstLineChars="600" w:firstLine="3120"/>
        <w:rPr>
          <w:rFonts w:ascii="黑体" w:eastAsia="黑体" w:hAnsi="黑体"/>
          <w:color w:val="000000" w:themeColor="text1"/>
          <w:spacing w:val="20"/>
          <w:sz w:val="48"/>
          <w:szCs w:val="48"/>
        </w:rPr>
      </w:pPr>
      <w:r w:rsidRPr="000627B5">
        <w:rPr>
          <w:rFonts w:ascii="黑体" w:eastAsia="黑体" w:hAnsi="黑体" w:hint="eastAsia"/>
          <w:color w:val="000000" w:themeColor="text1"/>
          <w:spacing w:val="20"/>
          <w:sz w:val="48"/>
          <w:szCs w:val="48"/>
        </w:rPr>
        <w:t>洪  洞  县</w:t>
      </w:r>
    </w:p>
    <w:p w:rsidR="00A27AE9" w:rsidRPr="006F1E69" w:rsidRDefault="00A27AE9" w:rsidP="006F1E69">
      <w:pPr>
        <w:ind w:firstLineChars="300" w:firstLine="1440"/>
        <w:rPr>
          <w:rFonts w:ascii="黑体" w:eastAsia="黑体" w:hAnsi="黑体"/>
          <w:color w:val="000000" w:themeColor="text1"/>
          <w:spacing w:val="20"/>
          <w:sz w:val="48"/>
          <w:szCs w:val="48"/>
        </w:rPr>
      </w:pPr>
      <w:r w:rsidRPr="006F1E69">
        <w:rPr>
          <w:rFonts w:ascii="黑体" w:eastAsia="黑体" w:hAnsi="黑体" w:hint="eastAsia"/>
          <w:color w:val="000000" w:themeColor="text1"/>
          <w:sz w:val="48"/>
          <w:szCs w:val="48"/>
        </w:rPr>
        <w:t>201</w:t>
      </w:r>
      <w:r w:rsidR="002D21C1" w:rsidRPr="006F1E69">
        <w:rPr>
          <w:rFonts w:ascii="黑体" w:eastAsia="黑体" w:hAnsi="黑体" w:hint="eastAsia"/>
          <w:color w:val="000000" w:themeColor="text1"/>
          <w:sz w:val="48"/>
          <w:szCs w:val="48"/>
        </w:rPr>
        <w:t>6</w:t>
      </w:r>
      <w:r w:rsidRPr="006F1E69">
        <w:rPr>
          <w:rFonts w:ascii="黑体" w:eastAsia="黑体" w:hAnsi="黑体" w:hint="eastAsia"/>
          <w:color w:val="000000" w:themeColor="text1"/>
          <w:sz w:val="48"/>
          <w:szCs w:val="48"/>
        </w:rPr>
        <w:t>年国民经济和社会发展</w:t>
      </w:r>
    </w:p>
    <w:p w:rsidR="00A27AE9" w:rsidRPr="006F1E69" w:rsidRDefault="006F1E69" w:rsidP="006F1E69">
      <w:pPr>
        <w:ind w:firstLine="1200"/>
        <w:rPr>
          <w:rFonts w:ascii="黑体" w:eastAsia="黑体" w:hAnsi="黑体"/>
          <w:sz w:val="48"/>
          <w:szCs w:val="48"/>
        </w:rPr>
      </w:pPr>
      <w:r>
        <w:rPr>
          <w:rFonts w:hint="eastAsia"/>
        </w:rPr>
        <w:t xml:space="preserve">                  </w:t>
      </w:r>
      <w:r w:rsidR="00A27AE9" w:rsidRPr="006F1E69">
        <w:rPr>
          <w:rFonts w:ascii="黑体" w:eastAsia="黑体" w:hAnsi="黑体" w:hint="eastAsia"/>
          <w:sz w:val="48"/>
          <w:szCs w:val="48"/>
        </w:rPr>
        <w:t>统</w:t>
      </w:r>
      <w:r w:rsidR="00E122D0" w:rsidRPr="006F1E69">
        <w:rPr>
          <w:rFonts w:ascii="黑体" w:eastAsia="黑体" w:hAnsi="黑体" w:hint="eastAsia"/>
          <w:sz w:val="48"/>
          <w:szCs w:val="48"/>
        </w:rPr>
        <w:t xml:space="preserve"> </w:t>
      </w:r>
      <w:r w:rsidR="00A27AE9" w:rsidRPr="006F1E69">
        <w:rPr>
          <w:rFonts w:ascii="黑体" w:eastAsia="黑体" w:hAnsi="黑体" w:hint="eastAsia"/>
          <w:sz w:val="48"/>
          <w:szCs w:val="48"/>
        </w:rPr>
        <w:t>计</w:t>
      </w:r>
      <w:r w:rsidR="00E122D0" w:rsidRPr="006F1E69">
        <w:rPr>
          <w:rFonts w:ascii="黑体" w:eastAsia="黑体" w:hAnsi="黑体" w:hint="eastAsia"/>
          <w:sz w:val="48"/>
          <w:szCs w:val="48"/>
        </w:rPr>
        <w:t xml:space="preserve"> </w:t>
      </w:r>
      <w:r w:rsidR="00A27AE9" w:rsidRPr="006F1E69">
        <w:rPr>
          <w:rFonts w:ascii="黑体" w:eastAsia="黑体" w:hAnsi="黑体" w:hint="eastAsia"/>
          <w:sz w:val="48"/>
          <w:szCs w:val="48"/>
        </w:rPr>
        <w:t>公 报</w:t>
      </w:r>
    </w:p>
    <w:p w:rsidR="00A27AE9" w:rsidRPr="004600A0" w:rsidRDefault="00A27AE9" w:rsidP="00213C3F">
      <w:pPr>
        <w:spacing w:line="560" w:lineRule="exact"/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A27AE9" w:rsidRPr="004600A0" w:rsidRDefault="00A27AE9" w:rsidP="006F1E69">
      <w:pPr>
        <w:spacing w:line="560" w:lineRule="exact"/>
        <w:ind w:firstLineChars="850" w:firstLine="2720"/>
        <w:rPr>
          <w:rFonts w:ascii="黑体" w:eastAsia="黑体" w:hAnsi="黑体"/>
          <w:color w:val="000000" w:themeColor="text1"/>
          <w:sz w:val="32"/>
          <w:szCs w:val="32"/>
        </w:rPr>
      </w:pPr>
      <w:r w:rsidRPr="004600A0">
        <w:rPr>
          <w:rFonts w:ascii="黑体" w:eastAsia="黑体" w:hAnsi="黑体" w:hint="eastAsia"/>
          <w:color w:val="000000" w:themeColor="text1"/>
          <w:sz w:val="32"/>
          <w:szCs w:val="32"/>
        </w:rPr>
        <w:t>洪  洞  县  统  计  局</w:t>
      </w:r>
    </w:p>
    <w:p w:rsidR="00A27AE9" w:rsidRPr="004600A0" w:rsidRDefault="00A27AE9" w:rsidP="006F1E69">
      <w:pPr>
        <w:spacing w:line="560" w:lineRule="exact"/>
        <w:ind w:firstLineChars="750" w:firstLine="2730"/>
        <w:rPr>
          <w:rFonts w:ascii="黑体" w:eastAsia="黑体" w:hAnsi="黑体"/>
          <w:color w:val="000000" w:themeColor="text1"/>
          <w:spacing w:val="22"/>
          <w:sz w:val="24"/>
          <w:szCs w:val="24"/>
        </w:rPr>
      </w:pPr>
      <w:r w:rsidRPr="004600A0">
        <w:rPr>
          <w:rFonts w:ascii="黑体" w:eastAsia="黑体" w:hAnsi="黑体" w:hint="eastAsia"/>
          <w:color w:val="000000" w:themeColor="text1"/>
          <w:spacing w:val="22"/>
          <w:sz w:val="32"/>
          <w:szCs w:val="32"/>
        </w:rPr>
        <w:t>国家统计局洪洞调查队</w:t>
      </w:r>
    </w:p>
    <w:p w:rsidR="00A27AE9" w:rsidRPr="004600A0" w:rsidRDefault="00A27AE9" w:rsidP="00213C3F">
      <w:pPr>
        <w:spacing w:line="560" w:lineRule="exact"/>
        <w:ind w:firstLineChars="200" w:firstLine="544"/>
        <w:jc w:val="center"/>
        <w:rPr>
          <w:rFonts w:ascii="黑体" w:eastAsia="黑体" w:hAnsi="黑体"/>
          <w:color w:val="000000" w:themeColor="text1"/>
          <w:spacing w:val="16"/>
          <w:sz w:val="24"/>
          <w:szCs w:val="24"/>
        </w:rPr>
      </w:pPr>
    </w:p>
    <w:p w:rsidR="00A27AE9" w:rsidRPr="004600A0" w:rsidRDefault="00A27AE9" w:rsidP="006F1E69">
      <w:pPr>
        <w:spacing w:line="560" w:lineRule="exact"/>
        <w:ind w:leftChars="-135" w:left="-283" w:firstLineChars="1138" w:firstLine="3642"/>
        <w:rPr>
          <w:rFonts w:ascii="黑体" w:eastAsia="黑体" w:hAnsi="黑体"/>
          <w:color w:val="000000" w:themeColor="text1"/>
          <w:sz w:val="32"/>
          <w:szCs w:val="32"/>
        </w:rPr>
      </w:pPr>
      <w:r w:rsidRPr="004600A0">
        <w:rPr>
          <w:rFonts w:ascii="黑体" w:eastAsia="黑体" w:hAnsi="黑体" w:hint="eastAsia"/>
          <w:color w:val="000000" w:themeColor="text1"/>
          <w:sz w:val="32"/>
          <w:szCs w:val="32"/>
        </w:rPr>
        <w:t>201</w:t>
      </w:r>
      <w:r w:rsidR="002D21C1">
        <w:rPr>
          <w:rFonts w:ascii="黑体" w:eastAsia="黑体" w:hAnsi="黑体" w:hint="eastAsia"/>
          <w:color w:val="000000" w:themeColor="text1"/>
          <w:sz w:val="32"/>
          <w:szCs w:val="32"/>
        </w:rPr>
        <w:t>7</w:t>
      </w:r>
      <w:r w:rsidRPr="004600A0">
        <w:rPr>
          <w:rFonts w:ascii="黑体" w:eastAsia="黑体" w:hAnsi="黑体" w:hint="eastAsia"/>
          <w:color w:val="000000" w:themeColor="text1"/>
          <w:sz w:val="32"/>
          <w:szCs w:val="32"/>
        </w:rPr>
        <w:t>年</w:t>
      </w:r>
      <w:r w:rsidR="00667C92">
        <w:rPr>
          <w:rFonts w:ascii="黑体" w:eastAsia="黑体" w:hAnsi="黑体" w:hint="eastAsia"/>
          <w:color w:val="000000" w:themeColor="text1"/>
          <w:sz w:val="32"/>
          <w:szCs w:val="32"/>
        </w:rPr>
        <w:t>4</w:t>
      </w:r>
      <w:r w:rsidRPr="004600A0">
        <w:rPr>
          <w:rFonts w:ascii="黑体" w:eastAsia="黑体" w:hAnsi="黑体" w:hint="eastAsia"/>
          <w:color w:val="000000" w:themeColor="text1"/>
          <w:sz w:val="32"/>
          <w:szCs w:val="32"/>
        </w:rPr>
        <w:t>月</w:t>
      </w:r>
      <w:r w:rsidR="00667C92">
        <w:rPr>
          <w:rFonts w:ascii="黑体" w:eastAsia="黑体" w:hAnsi="黑体" w:hint="eastAsia"/>
          <w:color w:val="000000" w:themeColor="text1"/>
          <w:sz w:val="32"/>
          <w:szCs w:val="32"/>
        </w:rPr>
        <w:t>10</w:t>
      </w:r>
      <w:r w:rsidRPr="004600A0">
        <w:rPr>
          <w:rFonts w:ascii="黑体" w:eastAsia="黑体" w:hAnsi="黑体" w:hint="eastAsia"/>
          <w:color w:val="000000" w:themeColor="text1"/>
          <w:sz w:val="32"/>
          <w:szCs w:val="32"/>
        </w:rPr>
        <w:t>日</w:t>
      </w:r>
    </w:p>
    <w:p w:rsidR="00A27AE9" w:rsidRPr="00724A50" w:rsidRDefault="00A27AE9" w:rsidP="00213C3F">
      <w:pPr>
        <w:spacing w:line="560" w:lineRule="exact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</w:p>
    <w:p w:rsidR="00892399" w:rsidRPr="00213C3F" w:rsidRDefault="00892399" w:rsidP="00213C3F">
      <w:pPr>
        <w:ind w:firstLineChars="200" w:firstLine="600"/>
        <w:rPr>
          <w:rFonts w:asciiTheme="minorEastAsia" w:hAnsiTheme="minorEastAsia" w:cs="Times New Roman"/>
          <w:color w:val="000000" w:themeColor="text1"/>
          <w:sz w:val="30"/>
          <w:szCs w:val="30"/>
        </w:rPr>
      </w:pPr>
      <w:r w:rsidRPr="00213C3F">
        <w:rPr>
          <w:rFonts w:asciiTheme="minorEastAsia" w:hAnsiTheme="minorEastAsia" w:cs="Times New Roman" w:hint="eastAsia"/>
          <w:color w:val="000000" w:themeColor="text1"/>
          <w:sz w:val="30"/>
          <w:szCs w:val="30"/>
        </w:rPr>
        <w:t>2016年，我县深入贯彻省委“一个指引、两手硬</w:t>
      </w:r>
      <w:r w:rsidRPr="00213C3F">
        <w:rPr>
          <w:rFonts w:asciiTheme="minorEastAsia" w:hAnsiTheme="minorEastAsia" w:cs="Times New Roman"/>
          <w:color w:val="000000" w:themeColor="text1"/>
          <w:sz w:val="30"/>
          <w:szCs w:val="30"/>
        </w:rPr>
        <w:t>”</w:t>
      </w:r>
      <w:r w:rsidRPr="00213C3F">
        <w:rPr>
          <w:rFonts w:asciiTheme="minorEastAsia" w:hAnsiTheme="minorEastAsia" w:cs="Times New Roman" w:hint="eastAsia"/>
          <w:color w:val="000000" w:themeColor="text1"/>
          <w:sz w:val="30"/>
          <w:szCs w:val="30"/>
        </w:rPr>
        <w:t>重大思路和要求，紧紧围绕市委、市政府“345”发展战略和“12345”工作思路，坚持以“保优夺魁”为目标，以“五大战略”为抓手，凝心聚力，埋头苦干，县域经济积极因素逐步汇聚，结构调整成效初步显现，全县经济发展的质量效益逐步提升，经济运行环境稳中趋好，实现了“十三五”良好开局。</w:t>
      </w:r>
    </w:p>
    <w:p w:rsidR="00590DD1" w:rsidRPr="00213C3F" w:rsidRDefault="00590DD1" w:rsidP="00213C3F">
      <w:pPr>
        <w:widowControl/>
        <w:spacing w:before="100" w:beforeAutospacing="1" w:after="100" w:afterAutospacing="1" w:line="420" w:lineRule="atLeast"/>
        <w:ind w:firstLineChars="900" w:firstLine="3253"/>
        <w:rPr>
          <w:rFonts w:ascii="黑体" w:eastAsia="黑体" w:hAnsi="黑体" w:cs="宋体"/>
          <w:b/>
          <w:color w:val="000000" w:themeColor="text1"/>
          <w:kern w:val="0"/>
          <w:sz w:val="36"/>
          <w:szCs w:val="36"/>
        </w:rPr>
      </w:pPr>
      <w:r w:rsidRPr="00213C3F">
        <w:rPr>
          <w:rFonts w:ascii="黑体" w:eastAsia="黑体" w:hAnsi="黑体" w:cs="宋体"/>
          <w:b/>
          <w:color w:val="000000" w:themeColor="text1"/>
          <w:kern w:val="0"/>
          <w:sz w:val="36"/>
          <w:szCs w:val="36"/>
        </w:rPr>
        <w:lastRenderedPageBreak/>
        <w:t>一、综 合</w:t>
      </w:r>
    </w:p>
    <w:p w:rsidR="00590DD1" w:rsidRPr="00213C3F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初步核算，全年全</w:t>
      </w:r>
      <w:r w:rsidR="00724A50"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生产总值</w:t>
      </w:r>
      <w:r w:rsidR="005228ED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1647087</w:t>
      </w:r>
      <w:r w:rsidR="00724A50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元，比上年增长</w:t>
      </w:r>
      <w:r w:rsidR="00724A50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2.1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%。其中，第一产业增加值</w:t>
      </w:r>
      <w:r w:rsidR="005228ED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109653</w:t>
      </w:r>
      <w:r w:rsidR="00724A50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万元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，</w:t>
      </w:r>
      <w:r w:rsidR="005228ED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增长3.0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%，占生产总值的比重为</w:t>
      </w:r>
      <w:r w:rsidR="00C63934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6.7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%；第二产业增加值</w:t>
      </w:r>
      <w:r w:rsidR="005228ED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941080</w:t>
      </w:r>
      <w:r w:rsidR="00C63934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万元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，下降</w:t>
      </w:r>
      <w:r w:rsidR="005228ED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0.6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%，占生产总值的比重为</w:t>
      </w:r>
      <w:r w:rsidR="00C63934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5</w:t>
      </w:r>
      <w:r w:rsidR="005228ED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7.1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%；第三产业增加值</w:t>
      </w:r>
      <w:r w:rsidR="005228ED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596354</w:t>
      </w:r>
      <w:r w:rsidR="00C63934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万元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，增长</w:t>
      </w:r>
      <w:r w:rsidR="005228ED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6.8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%，占生产总值的比重为</w:t>
      </w:r>
      <w:r w:rsidR="005228ED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36.2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%。第三产业中，房地产业增加值</w:t>
      </w:r>
      <w:r w:rsidR="005228ED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83579</w:t>
      </w:r>
      <w:r w:rsidR="003333C2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万元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，增长</w:t>
      </w:r>
      <w:r w:rsidR="005228ED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2.5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%；批发和零售业增加值</w:t>
      </w:r>
      <w:r w:rsidR="005228ED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73643</w:t>
      </w:r>
      <w:r w:rsidR="003333C2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万元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，增长</w:t>
      </w:r>
      <w:r w:rsidR="005228ED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2.6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%；交通运输、仓储和邮政业增加值</w:t>
      </w:r>
      <w:r w:rsidR="005228ED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107281</w:t>
      </w:r>
      <w:r w:rsidR="003333C2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万元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，增长</w:t>
      </w:r>
      <w:r w:rsidR="005228ED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2.9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</w:t>
      </w:r>
      <w:r w:rsidR="003333C2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；住宿和餐饮业增加值</w:t>
      </w:r>
      <w:r w:rsidR="005228ED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13133</w:t>
      </w:r>
      <w:r w:rsidR="003333C2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万元，增长</w:t>
      </w:r>
      <w:r w:rsidR="005228ED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9</w:t>
      </w:r>
      <w:r w:rsidR="003333C2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.4%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。</w:t>
      </w:r>
    </w:p>
    <w:p w:rsidR="00590DD1" w:rsidRPr="00213C3F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center"/>
        <w:rPr>
          <w:rFonts w:ascii="黑体" w:eastAsia="黑体" w:hAnsi="黑体" w:cs="宋体"/>
          <w:color w:val="000000" w:themeColor="text1"/>
          <w:kern w:val="0"/>
          <w:sz w:val="30"/>
          <w:szCs w:val="30"/>
        </w:rPr>
      </w:pPr>
      <w:r w:rsidRPr="00213C3F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图1 201</w:t>
      </w:r>
      <w:r w:rsidR="005228ED" w:rsidRPr="00213C3F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>2</w:t>
      </w:r>
      <w:r w:rsidRPr="00213C3F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-201</w:t>
      </w:r>
      <w:r w:rsidR="005228ED" w:rsidRPr="00213C3F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>6</w:t>
      </w:r>
      <w:r w:rsidRPr="00213C3F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年全</w:t>
      </w:r>
      <w:r w:rsidR="00724A50" w:rsidRPr="00213C3F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县</w:t>
      </w:r>
      <w:r w:rsidRPr="00213C3F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生产总值及其增长速度</w:t>
      </w:r>
    </w:p>
    <w:p w:rsidR="00B16EC1" w:rsidRDefault="00153E28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>
        <w:rPr>
          <w:rFonts w:asciiTheme="minorEastAsia" w:hAnsiTheme="minorEastAsia" w:cs="宋体" w:hint="eastAsia"/>
          <w:noProof/>
          <w:color w:val="000000" w:themeColor="text1"/>
          <w:kern w:val="0"/>
          <w:sz w:val="30"/>
          <w:szCs w:val="30"/>
        </w:rPr>
        <w:drawing>
          <wp:inline distT="0" distB="0" distL="0" distR="0">
            <wp:extent cx="4733925" cy="2809875"/>
            <wp:effectExtent l="0" t="0" r="0" b="0"/>
            <wp:docPr id="13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0DD1" w:rsidRPr="00213C3F" w:rsidRDefault="00B16EC1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人均地区生产总值</w:t>
      </w:r>
      <w:r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21</w:t>
      </w:r>
      <w:r w:rsidR="0033380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835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元，按201</w:t>
      </w:r>
      <w:r w:rsidR="0033380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年平均汇率计算为</w:t>
      </w:r>
      <w:r w:rsidR="00C66AC1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3522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美元。</w:t>
      </w:r>
    </w:p>
    <w:p w:rsidR="00590DD1" w:rsidRPr="00213C3F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lastRenderedPageBreak/>
        <w:t>全年全</w:t>
      </w:r>
      <w:r w:rsidR="00724A50"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="002E4AAB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财政总收入</w:t>
      </w:r>
      <w:r w:rsidR="00BF299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122416</w:t>
      </w:r>
      <w:r w:rsidR="002E4AAB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万元，同比下降</w:t>
      </w:r>
      <w:r w:rsidR="00BF299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14.9</w:t>
      </w:r>
      <w:r w:rsidR="002E4AAB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%，其中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公共财政预算收入</w:t>
      </w:r>
      <w:r w:rsidR="00403AEC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65</w:t>
      </w:r>
      <w:r w:rsidR="00BF299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981</w:t>
      </w:r>
      <w:r w:rsidR="00403AEC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万元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，</w:t>
      </w:r>
      <w:r w:rsidR="00BF299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增长1.0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</w:t>
      </w:r>
      <w:r w:rsidR="00BF299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国税和地税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税收收入</w:t>
      </w:r>
      <w:r w:rsidR="00BF299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94256</w:t>
      </w:r>
      <w:r w:rsidR="00403AEC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万元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，下降</w:t>
      </w:r>
      <w:r w:rsidR="00BF299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21.7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%，其中，国内增值税、营业税、企业所得税、个人所得税、资源税和城建税共计完成税收</w:t>
      </w:r>
      <w:r w:rsidR="00BF299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25489</w:t>
      </w:r>
      <w:r w:rsidR="00403AEC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万元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，下降</w:t>
      </w:r>
      <w:r w:rsidR="00BF299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10.0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</w:t>
      </w:r>
      <w:r w:rsidR="002461CC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一般财政预算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支出</w:t>
      </w:r>
      <w:r w:rsidR="00BF299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305075</w:t>
      </w:r>
      <w:r w:rsidR="00343B3E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万元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，增长</w:t>
      </w:r>
      <w:r w:rsidR="00BF299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3.0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%。其中，教育支出</w:t>
      </w:r>
      <w:r w:rsidR="002461CC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下降11.2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%，农林水事务支出增长</w:t>
      </w:r>
      <w:r w:rsidR="002461CC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0.7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%，社会保障和就业支出</w:t>
      </w:r>
      <w:r w:rsidR="002461CC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下降25.1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%，节能环保支出增长</w:t>
      </w:r>
      <w:r w:rsidR="002461CC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95.1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%，医疗卫生支出增长</w:t>
      </w:r>
      <w:r w:rsidR="002461CC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8.3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%，公共安全支出</w:t>
      </w:r>
      <w:r w:rsidR="002461CC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降低6.7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 xml:space="preserve">%。 </w:t>
      </w:r>
    </w:p>
    <w:p w:rsidR="00590DD1" w:rsidRPr="00253D85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center"/>
        <w:rPr>
          <w:rFonts w:ascii="黑体" w:eastAsia="黑体" w:hAnsi="黑体" w:cs="宋体"/>
          <w:color w:val="000000" w:themeColor="text1"/>
          <w:kern w:val="0"/>
          <w:sz w:val="30"/>
          <w:szCs w:val="30"/>
        </w:rPr>
      </w:pPr>
      <w:r w:rsidRPr="00253D85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图2 201</w:t>
      </w:r>
      <w:r w:rsidR="002461CC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>2</w:t>
      </w:r>
      <w:r w:rsidRPr="00253D85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-201</w:t>
      </w:r>
      <w:r w:rsidR="002461CC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>6</w:t>
      </w:r>
      <w:r w:rsidRPr="00253D85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年公共财政预算收入及其增长速度</w:t>
      </w:r>
    </w:p>
    <w:p w:rsidR="00590DD1" w:rsidRPr="001D7D77" w:rsidRDefault="00343B3E" w:rsidP="00213C3F">
      <w:pPr>
        <w:widowControl/>
        <w:spacing w:before="100" w:beforeAutospacing="1" w:after="100" w:afterAutospacing="1" w:line="420" w:lineRule="atLeast"/>
        <w:ind w:firstLineChars="200" w:firstLine="600"/>
        <w:jc w:val="center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343B3E">
        <w:rPr>
          <w:rFonts w:asciiTheme="minorEastAsia" w:hAnsiTheme="minorEastAsia" w:cs="宋体" w:hint="eastAsia"/>
          <w:noProof/>
          <w:color w:val="000000" w:themeColor="text1"/>
          <w:kern w:val="0"/>
          <w:sz w:val="30"/>
          <w:szCs w:val="30"/>
        </w:rPr>
        <w:drawing>
          <wp:inline distT="0" distB="0" distL="0" distR="0">
            <wp:extent cx="4991100" cy="3124200"/>
            <wp:effectExtent l="0" t="0" r="0" b="0"/>
            <wp:docPr id="1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0DD1" w:rsidRPr="00213C3F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居民消费价格比上年上涨</w:t>
      </w:r>
      <w:r w:rsidR="00D443C3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1.0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%，其中，食品</w:t>
      </w:r>
      <w:r w:rsidR="00D443C3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烟酒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价格上涨</w:t>
      </w:r>
      <w:r w:rsidR="00D443C3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3.3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</w:t>
      </w:r>
      <w:r w:rsidR="00E21CE9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；商品零售价格总指数比上年</w:t>
      </w:r>
      <w:r w:rsidR="002E4AAB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提高</w:t>
      </w:r>
      <w:r w:rsidR="00E21CE9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0.</w:t>
      </w:r>
      <w:r w:rsidR="00D443C3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4</w:t>
      </w:r>
      <w:r w:rsidR="002E4AAB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个百分点</w:t>
      </w:r>
      <w:r w:rsidR="00E21CE9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；农业生产资料价格比上年</w:t>
      </w:r>
      <w:r w:rsidR="00D443C3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上涨2.4</w:t>
      </w:r>
      <w:r w:rsidR="00E21CE9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%。</w:t>
      </w:r>
    </w:p>
    <w:p w:rsidR="00590DD1" w:rsidRPr="00253D85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center"/>
        <w:rPr>
          <w:rFonts w:ascii="黑体" w:eastAsia="黑体" w:hAnsi="黑体" w:cs="宋体"/>
          <w:color w:val="000000" w:themeColor="text1"/>
          <w:kern w:val="0"/>
          <w:sz w:val="30"/>
          <w:szCs w:val="30"/>
        </w:rPr>
      </w:pPr>
      <w:r w:rsidRPr="00253D85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lastRenderedPageBreak/>
        <w:t>表1 201</w:t>
      </w:r>
      <w:r w:rsidR="00D443C3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>6</w:t>
      </w:r>
      <w:r w:rsidRPr="00253D85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年居民消费价格比上年涨幅</w:t>
      </w:r>
    </w:p>
    <w:p w:rsidR="00590DD1" w:rsidRPr="00253D85" w:rsidRDefault="00590DD1" w:rsidP="00213C3F">
      <w:pPr>
        <w:widowControl/>
        <w:spacing w:before="100" w:beforeAutospacing="1" w:after="100" w:afterAutospacing="1" w:line="420" w:lineRule="atLeast"/>
        <w:ind w:firstLineChars="200" w:firstLine="420"/>
        <w:jc w:val="righ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253D85">
        <w:rPr>
          <w:rFonts w:asciiTheme="minorEastAsia" w:hAnsiTheme="minorEastAsia" w:cs="宋体"/>
          <w:color w:val="000000" w:themeColor="text1"/>
          <w:kern w:val="0"/>
          <w:szCs w:val="21"/>
        </w:rPr>
        <w:t>单位：%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5312"/>
        <w:gridCol w:w="2278"/>
      </w:tblGrid>
      <w:tr w:rsidR="00590DD1" w:rsidRPr="00E21CE9" w:rsidTr="00AB6CC2">
        <w:trPr>
          <w:trHeight w:hRule="exact" w:val="510"/>
          <w:tblCellSpacing w:w="0" w:type="dxa"/>
          <w:jc w:val="center"/>
        </w:trPr>
        <w:tc>
          <w:tcPr>
            <w:tcW w:w="531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DD1" w:rsidRPr="009D6DED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D6DED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 xml:space="preserve">指 </w:t>
            </w:r>
            <w:r w:rsidR="00CB299F" w:rsidRPr="009D6DED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9D6DED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标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DD1" w:rsidRPr="009D6DED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D6DED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涨 幅</w:t>
            </w:r>
          </w:p>
        </w:tc>
      </w:tr>
      <w:tr w:rsidR="00590DD1" w:rsidRPr="00E21CE9" w:rsidTr="00AB6CC2">
        <w:trPr>
          <w:trHeight w:hRule="exact" w:val="510"/>
          <w:tblCellSpacing w:w="0" w:type="dxa"/>
          <w:jc w:val="center"/>
        </w:trPr>
        <w:tc>
          <w:tcPr>
            <w:tcW w:w="531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DD1" w:rsidRPr="009D6DED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D6DED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居民消费价格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DD1" w:rsidRPr="009D6DED" w:rsidRDefault="00D443C3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1.0</w:t>
            </w:r>
          </w:p>
        </w:tc>
      </w:tr>
      <w:tr w:rsidR="00590DD1" w:rsidRPr="00E21CE9" w:rsidTr="00AB6CC2">
        <w:trPr>
          <w:trHeight w:hRule="exact" w:val="510"/>
          <w:tblCellSpacing w:w="0" w:type="dxa"/>
          <w:jc w:val="center"/>
        </w:trPr>
        <w:tc>
          <w:tcPr>
            <w:tcW w:w="531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DD1" w:rsidRPr="009D6DED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D6DED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食品</w:t>
            </w:r>
            <w:r w:rsidR="00D443C3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烟酒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DD1" w:rsidRPr="009D6DED" w:rsidRDefault="00D443C3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3.3</w:t>
            </w:r>
          </w:p>
        </w:tc>
      </w:tr>
      <w:tr w:rsidR="00590DD1" w:rsidRPr="00E21CE9" w:rsidTr="00AB6CC2">
        <w:trPr>
          <w:trHeight w:hRule="exact" w:val="510"/>
          <w:tblCellSpacing w:w="0" w:type="dxa"/>
          <w:jc w:val="center"/>
        </w:trPr>
        <w:tc>
          <w:tcPr>
            <w:tcW w:w="531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DD1" w:rsidRPr="009D6DED" w:rsidRDefault="00D443C3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D6DED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衣 着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DD1" w:rsidRPr="009D6DED" w:rsidRDefault="00D443C3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1.8</w:t>
            </w:r>
          </w:p>
        </w:tc>
      </w:tr>
      <w:tr w:rsidR="00590DD1" w:rsidRPr="00E21CE9" w:rsidTr="00AB6CC2">
        <w:trPr>
          <w:trHeight w:hRule="exact" w:val="510"/>
          <w:tblCellSpacing w:w="0" w:type="dxa"/>
          <w:jc w:val="center"/>
        </w:trPr>
        <w:tc>
          <w:tcPr>
            <w:tcW w:w="531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DD1" w:rsidRPr="009D6DED" w:rsidRDefault="00D443C3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D6DED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居 住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DD1" w:rsidRPr="009D6DED" w:rsidRDefault="00D443C3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--</w:t>
            </w:r>
          </w:p>
        </w:tc>
      </w:tr>
      <w:tr w:rsidR="00590DD1" w:rsidRPr="00E21CE9" w:rsidTr="00AB6CC2">
        <w:trPr>
          <w:trHeight w:hRule="exact" w:val="510"/>
          <w:tblCellSpacing w:w="0" w:type="dxa"/>
          <w:jc w:val="center"/>
        </w:trPr>
        <w:tc>
          <w:tcPr>
            <w:tcW w:w="531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DD1" w:rsidRPr="009D6DED" w:rsidRDefault="00D443C3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生活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用品及</w:t>
            </w:r>
            <w:r w:rsidR="00590DD1" w:rsidRPr="009D6DED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服务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DD1" w:rsidRPr="009D6DED" w:rsidRDefault="00D443C3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-0.1</w:t>
            </w:r>
          </w:p>
        </w:tc>
      </w:tr>
      <w:tr w:rsidR="00590DD1" w:rsidRPr="00E21CE9" w:rsidTr="00AB6CC2">
        <w:trPr>
          <w:trHeight w:hRule="exact" w:val="510"/>
          <w:tblCellSpacing w:w="0" w:type="dxa"/>
          <w:jc w:val="center"/>
        </w:trPr>
        <w:tc>
          <w:tcPr>
            <w:tcW w:w="531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DD1" w:rsidRPr="009D6DED" w:rsidRDefault="00D443C3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D6DED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交通和通信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DD1" w:rsidRPr="009D6DED" w:rsidRDefault="00D443C3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-1.4</w:t>
            </w:r>
          </w:p>
        </w:tc>
      </w:tr>
      <w:tr w:rsidR="00590DD1" w:rsidRPr="00E21CE9" w:rsidTr="00AB6CC2">
        <w:trPr>
          <w:trHeight w:hRule="exact" w:val="510"/>
          <w:tblCellSpacing w:w="0" w:type="dxa"/>
          <w:jc w:val="center"/>
        </w:trPr>
        <w:tc>
          <w:tcPr>
            <w:tcW w:w="531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DD1" w:rsidRPr="009D6DED" w:rsidRDefault="00D443C3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D6DED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教育文化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和娱乐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DD1" w:rsidRPr="009D6DED" w:rsidRDefault="00D443C3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0.3</w:t>
            </w:r>
          </w:p>
        </w:tc>
      </w:tr>
      <w:tr w:rsidR="00590DD1" w:rsidRPr="00E21CE9" w:rsidTr="00AB6CC2">
        <w:trPr>
          <w:trHeight w:hRule="exact" w:val="510"/>
          <w:tblCellSpacing w:w="0" w:type="dxa"/>
          <w:jc w:val="center"/>
        </w:trPr>
        <w:tc>
          <w:tcPr>
            <w:tcW w:w="531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DD1" w:rsidRPr="009D6DED" w:rsidRDefault="00D443C3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D6DED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医疗保健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DD1" w:rsidRPr="009D6DED" w:rsidRDefault="00D443C3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--</w:t>
            </w:r>
          </w:p>
        </w:tc>
      </w:tr>
      <w:tr w:rsidR="00590DD1" w:rsidRPr="00E21CE9" w:rsidTr="00AB6CC2">
        <w:trPr>
          <w:trHeight w:hRule="exact" w:val="510"/>
          <w:tblCellSpacing w:w="0" w:type="dxa"/>
          <w:jc w:val="center"/>
        </w:trPr>
        <w:tc>
          <w:tcPr>
            <w:tcW w:w="531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DD1" w:rsidRPr="009D6DED" w:rsidRDefault="00D443C3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其他用品和服务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DD1" w:rsidRPr="009D6DED" w:rsidRDefault="00D443C3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1.2</w:t>
            </w:r>
          </w:p>
        </w:tc>
      </w:tr>
    </w:tbl>
    <w:p w:rsidR="00590DD1" w:rsidRPr="00213C3F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全年全</w:t>
      </w:r>
      <w:r w:rsidR="00724A50"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新增就业</w:t>
      </w:r>
      <w:r w:rsidR="0033380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4906</w:t>
      </w:r>
      <w:r w:rsidR="001D7D7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人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，</w:t>
      </w:r>
      <w:r w:rsidR="0033380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新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转移农村劳动力</w:t>
      </w:r>
      <w:r w:rsidR="0033380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6165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人，年末城镇登记失业率</w:t>
      </w:r>
      <w:r w:rsidR="009C038C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4.1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%，控制在4.2%的目标范围之内。</w:t>
      </w:r>
    </w:p>
    <w:p w:rsidR="00590DD1" w:rsidRPr="00213C3F" w:rsidRDefault="00590DD1" w:rsidP="00213C3F">
      <w:pPr>
        <w:widowControl/>
        <w:spacing w:before="100" w:beforeAutospacing="1" w:after="100" w:afterAutospacing="1" w:line="420" w:lineRule="atLeast"/>
        <w:ind w:firstLineChars="945" w:firstLine="3402"/>
        <w:rPr>
          <w:rFonts w:ascii="黑体" w:eastAsia="黑体" w:hAnsi="黑体" w:cs="宋体"/>
          <w:color w:val="000000" w:themeColor="text1"/>
          <w:kern w:val="0"/>
          <w:sz w:val="36"/>
          <w:szCs w:val="36"/>
        </w:rPr>
      </w:pPr>
      <w:r w:rsidRPr="00213C3F">
        <w:rPr>
          <w:rFonts w:ascii="黑体" w:eastAsia="黑体" w:hAnsi="黑体" w:cs="宋体"/>
          <w:color w:val="000000" w:themeColor="text1"/>
          <w:kern w:val="0"/>
          <w:sz w:val="36"/>
          <w:szCs w:val="36"/>
        </w:rPr>
        <w:t>二、农 业</w:t>
      </w:r>
    </w:p>
    <w:p w:rsidR="00590DD1" w:rsidRPr="00213C3F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全年全</w:t>
      </w:r>
      <w:r w:rsidR="00724A50"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农作物种植面积</w:t>
      </w:r>
      <w:r w:rsidR="00DD7CA8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81380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公顷，比上年</w:t>
      </w:r>
      <w:r w:rsidR="00DD7CA8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增加3340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公顷，</w:t>
      </w:r>
      <w:r w:rsidR="00DD7CA8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增长4.3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%。其中，粮食种植面积</w:t>
      </w:r>
      <w:r w:rsidR="00DD7CA8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78357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公顷，</w:t>
      </w:r>
      <w:r w:rsidR="00DD7CA8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增加3238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公顷；油料种植面积</w:t>
      </w:r>
      <w:r w:rsidR="00C24EE1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142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公顷，</w:t>
      </w:r>
      <w:r w:rsidR="00C24EE1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减少3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公顷；棉花种植面积</w:t>
      </w:r>
      <w:r w:rsidR="00C24EE1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4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公顷，</w:t>
      </w:r>
      <w:r w:rsidR="00C24EE1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增加3.5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公顷。在粮食种植面积中，玉米种植面积</w:t>
      </w:r>
      <w:r w:rsidR="00C24EE1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33779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公顷，增加</w:t>
      </w:r>
      <w:r w:rsidR="00C24EE1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2570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公顷；小麦种植面积</w:t>
      </w:r>
      <w:r w:rsidR="00C24EE1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42242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公顷，</w:t>
      </w:r>
      <w:r w:rsidR="00C24EE1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增加229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公顷。</w:t>
      </w:r>
    </w:p>
    <w:p w:rsidR="00590DD1" w:rsidRPr="00213C3F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lastRenderedPageBreak/>
        <w:t>全年粮食产量</w:t>
      </w:r>
      <w:r w:rsidR="00C24EE1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468841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吨，比上年</w:t>
      </w:r>
      <w:r w:rsidR="00C24EE1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增产15</w:t>
      </w:r>
      <w:r w:rsidR="009D7CE5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.1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%。其中，夏粮</w:t>
      </w:r>
      <w:r w:rsidR="00C24EE1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226562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吨，</w:t>
      </w:r>
      <w:r w:rsidR="00C24EE1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下降2.8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%；秋粮</w:t>
      </w:r>
      <w:r w:rsidR="00C24EE1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234078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吨，</w:t>
      </w:r>
      <w:r w:rsidR="00C24EE1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增产</w:t>
      </w:r>
      <w:r w:rsidR="000819A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39.2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</w:t>
      </w:r>
    </w:p>
    <w:p w:rsidR="009B483A" w:rsidRPr="00213C3F" w:rsidRDefault="009B483A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全年完成造林</w:t>
      </w:r>
      <w:r w:rsidR="00C24EE1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736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公顷</w:t>
      </w:r>
      <w:r w:rsidR="00975640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,零星植树110万株,森林抚育面积达200公顷,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全年木材产量</w:t>
      </w:r>
      <w:r w:rsidR="00C24EE1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10000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立方米。</w:t>
      </w:r>
    </w:p>
    <w:p w:rsidR="00590DD1" w:rsidRPr="00213C3F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center"/>
        <w:rPr>
          <w:rFonts w:ascii="黑体" w:eastAsia="黑体" w:hAnsi="黑体" w:cs="宋体"/>
          <w:color w:val="000000" w:themeColor="text1"/>
          <w:kern w:val="0"/>
          <w:sz w:val="30"/>
          <w:szCs w:val="30"/>
        </w:rPr>
      </w:pPr>
      <w:r w:rsidRPr="00213C3F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表2 201</w:t>
      </w:r>
      <w:r w:rsidR="00213C3F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>6</w:t>
      </w:r>
      <w:r w:rsidRPr="00213C3F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年主要农林产品产量及其增长速度</w:t>
      </w:r>
    </w:p>
    <w:p w:rsidR="00D271D7" w:rsidRPr="00253D85" w:rsidRDefault="00590DD1" w:rsidP="00213C3F">
      <w:pPr>
        <w:widowControl/>
        <w:spacing w:before="100" w:beforeAutospacing="1" w:after="100" w:afterAutospacing="1" w:line="420" w:lineRule="atLeast"/>
        <w:ind w:firstLineChars="200" w:firstLine="420"/>
        <w:jc w:val="righ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253D85">
        <w:rPr>
          <w:rFonts w:asciiTheme="minorEastAsia" w:hAnsiTheme="minorEastAsia" w:cs="宋体"/>
          <w:color w:val="000000" w:themeColor="text1"/>
          <w:kern w:val="0"/>
          <w:szCs w:val="21"/>
        </w:rPr>
        <w:t>单位：吨、%</w:t>
      </w:r>
    </w:p>
    <w:tbl>
      <w:tblPr>
        <w:tblStyle w:val="aa"/>
        <w:tblW w:w="5000" w:type="pct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4510"/>
        <w:gridCol w:w="2238"/>
        <w:gridCol w:w="2014"/>
      </w:tblGrid>
      <w:tr w:rsidR="00590DD1" w:rsidRPr="00034992" w:rsidTr="00213C3F">
        <w:trPr>
          <w:trHeight w:hRule="exact" w:val="586"/>
        </w:trPr>
        <w:tc>
          <w:tcPr>
            <w:tcW w:w="2574" w:type="pct"/>
            <w:hideMark/>
          </w:tcPr>
          <w:p w:rsidR="00590DD1" w:rsidRPr="00B16EC1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1277" w:type="pct"/>
            <w:hideMark/>
          </w:tcPr>
          <w:p w:rsidR="00590DD1" w:rsidRPr="00B16EC1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产 量</w:t>
            </w:r>
          </w:p>
        </w:tc>
        <w:tc>
          <w:tcPr>
            <w:tcW w:w="1149" w:type="pct"/>
            <w:hideMark/>
          </w:tcPr>
          <w:p w:rsidR="00590DD1" w:rsidRPr="00B16EC1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比上年增长</w:t>
            </w:r>
          </w:p>
        </w:tc>
      </w:tr>
      <w:tr w:rsidR="00590DD1" w:rsidRPr="00034992" w:rsidTr="00213C3F">
        <w:trPr>
          <w:trHeight w:val="624"/>
        </w:trPr>
        <w:tc>
          <w:tcPr>
            <w:tcW w:w="2574" w:type="pct"/>
            <w:hideMark/>
          </w:tcPr>
          <w:p w:rsidR="00590DD1" w:rsidRPr="00B16EC1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粮 食</w:t>
            </w:r>
          </w:p>
        </w:tc>
        <w:tc>
          <w:tcPr>
            <w:tcW w:w="1277" w:type="pct"/>
            <w:hideMark/>
          </w:tcPr>
          <w:p w:rsidR="00590DD1" w:rsidRPr="00B16EC1" w:rsidRDefault="007D12C9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468841</w:t>
            </w:r>
          </w:p>
        </w:tc>
        <w:tc>
          <w:tcPr>
            <w:tcW w:w="1149" w:type="pct"/>
            <w:hideMark/>
          </w:tcPr>
          <w:p w:rsidR="00590DD1" w:rsidRPr="00B16EC1" w:rsidRDefault="007D12C9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15.1</w:t>
            </w:r>
          </w:p>
        </w:tc>
      </w:tr>
      <w:tr w:rsidR="00590DD1" w:rsidRPr="00034992" w:rsidTr="00213C3F">
        <w:trPr>
          <w:trHeight w:val="484"/>
        </w:trPr>
        <w:tc>
          <w:tcPr>
            <w:tcW w:w="2574" w:type="pct"/>
            <w:hideMark/>
          </w:tcPr>
          <w:p w:rsidR="00590DD1" w:rsidRPr="00B16EC1" w:rsidRDefault="00590DD1" w:rsidP="00213C3F">
            <w:pPr>
              <w:widowControl/>
              <w:spacing w:before="100" w:beforeAutospacing="1" w:after="100" w:afterAutospacing="1" w:line="330" w:lineRule="atLeast"/>
              <w:ind w:firstLineChars="350" w:firstLine="98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其</w:t>
            </w:r>
            <w:r w:rsidR="00213C3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B16EC1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中：玉 米</w:t>
            </w:r>
          </w:p>
        </w:tc>
        <w:tc>
          <w:tcPr>
            <w:tcW w:w="1277" w:type="pct"/>
            <w:hideMark/>
          </w:tcPr>
          <w:p w:rsidR="00590DD1" w:rsidRPr="00B16EC1" w:rsidRDefault="007D12C9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234078</w:t>
            </w:r>
          </w:p>
        </w:tc>
        <w:tc>
          <w:tcPr>
            <w:tcW w:w="1149" w:type="pct"/>
            <w:hideMark/>
          </w:tcPr>
          <w:p w:rsidR="00590DD1" w:rsidRPr="00B16EC1" w:rsidRDefault="000819AB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39.2</w:t>
            </w:r>
          </w:p>
        </w:tc>
      </w:tr>
      <w:tr w:rsidR="00590DD1" w:rsidRPr="00034992" w:rsidTr="00213C3F">
        <w:trPr>
          <w:trHeight w:val="564"/>
        </w:trPr>
        <w:tc>
          <w:tcPr>
            <w:tcW w:w="2574" w:type="pct"/>
            <w:hideMark/>
          </w:tcPr>
          <w:p w:rsidR="00590DD1" w:rsidRPr="00B16EC1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小 麦</w:t>
            </w:r>
          </w:p>
        </w:tc>
        <w:tc>
          <w:tcPr>
            <w:tcW w:w="1277" w:type="pct"/>
            <w:hideMark/>
          </w:tcPr>
          <w:p w:rsidR="00590DD1" w:rsidRPr="00B16EC1" w:rsidRDefault="007D12C9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226562</w:t>
            </w:r>
          </w:p>
        </w:tc>
        <w:tc>
          <w:tcPr>
            <w:tcW w:w="1149" w:type="pct"/>
            <w:hideMark/>
          </w:tcPr>
          <w:p w:rsidR="00590DD1" w:rsidRPr="00B16EC1" w:rsidRDefault="007D12C9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-2.8</w:t>
            </w:r>
          </w:p>
        </w:tc>
      </w:tr>
      <w:tr w:rsidR="00590DD1" w:rsidRPr="00034992" w:rsidTr="00213C3F">
        <w:trPr>
          <w:trHeight w:val="624"/>
        </w:trPr>
        <w:tc>
          <w:tcPr>
            <w:tcW w:w="2574" w:type="pct"/>
            <w:vAlign w:val="bottom"/>
            <w:hideMark/>
          </w:tcPr>
          <w:p w:rsidR="00590DD1" w:rsidRPr="00B16EC1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谷 子</w:t>
            </w:r>
          </w:p>
        </w:tc>
        <w:tc>
          <w:tcPr>
            <w:tcW w:w="1277" w:type="pct"/>
            <w:hideMark/>
          </w:tcPr>
          <w:p w:rsidR="00590DD1" w:rsidRPr="00B16EC1" w:rsidRDefault="007D12C9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609.4</w:t>
            </w:r>
          </w:p>
        </w:tc>
        <w:tc>
          <w:tcPr>
            <w:tcW w:w="1149" w:type="pct"/>
            <w:hideMark/>
          </w:tcPr>
          <w:p w:rsidR="00590DD1" w:rsidRPr="00B16EC1" w:rsidRDefault="007D12C9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186.1</w:t>
            </w:r>
          </w:p>
        </w:tc>
      </w:tr>
      <w:tr w:rsidR="00590DD1" w:rsidRPr="00034992" w:rsidTr="00213C3F">
        <w:trPr>
          <w:trHeight w:val="624"/>
        </w:trPr>
        <w:tc>
          <w:tcPr>
            <w:tcW w:w="2574" w:type="pct"/>
            <w:hideMark/>
          </w:tcPr>
          <w:p w:rsidR="00590DD1" w:rsidRPr="00B16EC1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豆 类</w:t>
            </w:r>
          </w:p>
        </w:tc>
        <w:tc>
          <w:tcPr>
            <w:tcW w:w="1277" w:type="pct"/>
            <w:hideMark/>
          </w:tcPr>
          <w:p w:rsidR="00590DD1" w:rsidRPr="00B16EC1" w:rsidRDefault="007D12C9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2707.5</w:t>
            </w:r>
          </w:p>
        </w:tc>
        <w:tc>
          <w:tcPr>
            <w:tcW w:w="1149" w:type="pct"/>
            <w:hideMark/>
          </w:tcPr>
          <w:p w:rsidR="00590DD1" w:rsidRPr="00B16EC1" w:rsidRDefault="007D12C9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146.6</w:t>
            </w:r>
          </w:p>
        </w:tc>
      </w:tr>
      <w:tr w:rsidR="00590DD1" w:rsidRPr="00034992" w:rsidTr="00213C3F">
        <w:trPr>
          <w:trHeight w:val="624"/>
        </w:trPr>
        <w:tc>
          <w:tcPr>
            <w:tcW w:w="2574" w:type="pct"/>
            <w:hideMark/>
          </w:tcPr>
          <w:p w:rsidR="00590DD1" w:rsidRPr="00B16EC1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薯 类</w:t>
            </w:r>
          </w:p>
        </w:tc>
        <w:tc>
          <w:tcPr>
            <w:tcW w:w="1277" w:type="pct"/>
            <w:hideMark/>
          </w:tcPr>
          <w:p w:rsidR="00590DD1" w:rsidRPr="00B16EC1" w:rsidRDefault="007D12C9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23579.5</w:t>
            </w:r>
          </w:p>
        </w:tc>
        <w:tc>
          <w:tcPr>
            <w:tcW w:w="1149" w:type="pct"/>
            <w:hideMark/>
          </w:tcPr>
          <w:p w:rsidR="00590DD1" w:rsidRPr="00B16EC1" w:rsidRDefault="000819AB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-5.4</w:t>
            </w:r>
          </w:p>
        </w:tc>
      </w:tr>
      <w:tr w:rsidR="00590DD1" w:rsidRPr="00034992" w:rsidTr="00213C3F">
        <w:trPr>
          <w:trHeight w:val="549"/>
        </w:trPr>
        <w:tc>
          <w:tcPr>
            <w:tcW w:w="2574" w:type="pct"/>
            <w:hideMark/>
          </w:tcPr>
          <w:p w:rsidR="00590DD1" w:rsidRPr="00B16EC1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油 料</w:t>
            </w:r>
          </w:p>
        </w:tc>
        <w:tc>
          <w:tcPr>
            <w:tcW w:w="1277" w:type="pct"/>
            <w:hideMark/>
          </w:tcPr>
          <w:p w:rsidR="00590DD1" w:rsidRPr="00B16EC1" w:rsidRDefault="007D12C9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448.3</w:t>
            </w:r>
          </w:p>
        </w:tc>
        <w:tc>
          <w:tcPr>
            <w:tcW w:w="1149" w:type="pct"/>
            <w:hideMark/>
          </w:tcPr>
          <w:p w:rsidR="00590DD1" w:rsidRPr="00B16EC1" w:rsidRDefault="007D12C9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7.5</w:t>
            </w:r>
          </w:p>
        </w:tc>
      </w:tr>
      <w:tr w:rsidR="00590DD1" w:rsidRPr="00034992" w:rsidTr="00213C3F">
        <w:trPr>
          <w:trHeight w:val="576"/>
        </w:trPr>
        <w:tc>
          <w:tcPr>
            <w:tcW w:w="2574" w:type="pct"/>
            <w:hideMark/>
          </w:tcPr>
          <w:p w:rsidR="00590DD1" w:rsidRPr="00B16EC1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棉 花</w:t>
            </w:r>
          </w:p>
        </w:tc>
        <w:tc>
          <w:tcPr>
            <w:tcW w:w="1277" w:type="pct"/>
            <w:hideMark/>
          </w:tcPr>
          <w:p w:rsidR="00590DD1" w:rsidRPr="00B16EC1" w:rsidRDefault="007D12C9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3.1</w:t>
            </w:r>
          </w:p>
        </w:tc>
        <w:tc>
          <w:tcPr>
            <w:tcW w:w="1149" w:type="pct"/>
            <w:hideMark/>
          </w:tcPr>
          <w:p w:rsidR="00590DD1" w:rsidRPr="00B16EC1" w:rsidRDefault="007D12C9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520.0</w:t>
            </w:r>
          </w:p>
        </w:tc>
      </w:tr>
      <w:tr w:rsidR="00590DD1" w:rsidRPr="00034992" w:rsidTr="00213C3F">
        <w:trPr>
          <w:trHeight w:val="548"/>
        </w:trPr>
        <w:tc>
          <w:tcPr>
            <w:tcW w:w="2574" w:type="pct"/>
            <w:hideMark/>
          </w:tcPr>
          <w:p w:rsidR="00590DD1" w:rsidRPr="00B16EC1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蔬 菜</w:t>
            </w:r>
          </w:p>
        </w:tc>
        <w:tc>
          <w:tcPr>
            <w:tcW w:w="1277" w:type="pct"/>
            <w:hideMark/>
          </w:tcPr>
          <w:p w:rsidR="00590DD1" w:rsidRPr="00B16EC1" w:rsidRDefault="007D12C9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70328.2</w:t>
            </w:r>
          </w:p>
        </w:tc>
        <w:tc>
          <w:tcPr>
            <w:tcW w:w="1149" w:type="pct"/>
            <w:hideMark/>
          </w:tcPr>
          <w:p w:rsidR="00590DD1" w:rsidRPr="00B16EC1" w:rsidRDefault="007D12C9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0.1</w:t>
            </w:r>
          </w:p>
        </w:tc>
      </w:tr>
      <w:tr w:rsidR="00590DD1" w:rsidRPr="00034992" w:rsidTr="00213C3F">
        <w:trPr>
          <w:trHeight w:val="528"/>
        </w:trPr>
        <w:tc>
          <w:tcPr>
            <w:tcW w:w="2574" w:type="pct"/>
            <w:hideMark/>
          </w:tcPr>
          <w:p w:rsidR="00590DD1" w:rsidRPr="00B16EC1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水 果</w:t>
            </w:r>
          </w:p>
        </w:tc>
        <w:tc>
          <w:tcPr>
            <w:tcW w:w="1277" w:type="pct"/>
            <w:hideMark/>
          </w:tcPr>
          <w:p w:rsidR="00590DD1" w:rsidRPr="00B16EC1" w:rsidRDefault="007D12C9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13685.3</w:t>
            </w:r>
          </w:p>
        </w:tc>
        <w:tc>
          <w:tcPr>
            <w:tcW w:w="1149" w:type="pct"/>
            <w:hideMark/>
          </w:tcPr>
          <w:p w:rsidR="00590DD1" w:rsidRPr="00B16EC1" w:rsidRDefault="007D12C9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5.6</w:t>
            </w:r>
          </w:p>
        </w:tc>
      </w:tr>
      <w:tr w:rsidR="00590DD1" w:rsidRPr="00034992" w:rsidTr="00213C3F">
        <w:trPr>
          <w:trHeight w:val="452"/>
        </w:trPr>
        <w:tc>
          <w:tcPr>
            <w:tcW w:w="2574" w:type="pct"/>
            <w:hideMark/>
          </w:tcPr>
          <w:p w:rsidR="00590DD1" w:rsidRPr="00B16EC1" w:rsidRDefault="00590DD1" w:rsidP="00213C3F">
            <w:pPr>
              <w:widowControl/>
              <w:spacing w:before="100" w:beforeAutospacing="1" w:after="100" w:afterAutospacing="1" w:line="330" w:lineRule="atLeast"/>
              <w:ind w:firstLineChars="350" w:firstLine="98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其</w:t>
            </w:r>
            <w:r w:rsidR="00213C3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B16EC1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中：苹 果</w:t>
            </w:r>
          </w:p>
        </w:tc>
        <w:tc>
          <w:tcPr>
            <w:tcW w:w="1277" w:type="pct"/>
            <w:hideMark/>
          </w:tcPr>
          <w:p w:rsidR="00590DD1" w:rsidRPr="00B16EC1" w:rsidRDefault="007D12C9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7056.1</w:t>
            </w:r>
          </w:p>
        </w:tc>
        <w:tc>
          <w:tcPr>
            <w:tcW w:w="1149" w:type="pct"/>
            <w:hideMark/>
          </w:tcPr>
          <w:p w:rsidR="00590DD1" w:rsidRPr="00B16EC1" w:rsidRDefault="007D12C9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-15.0</w:t>
            </w:r>
          </w:p>
        </w:tc>
      </w:tr>
      <w:tr w:rsidR="00590DD1" w:rsidRPr="00034992" w:rsidTr="00213C3F">
        <w:trPr>
          <w:trHeight w:val="519"/>
        </w:trPr>
        <w:tc>
          <w:tcPr>
            <w:tcW w:w="2574" w:type="pct"/>
            <w:hideMark/>
          </w:tcPr>
          <w:p w:rsidR="00590DD1" w:rsidRPr="00B16EC1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红 枣</w:t>
            </w:r>
          </w:p>
        </w:tc>
        <w:tc>
          <w:tcPr>
            <w:tcW w:w="1277" w:type="pct"/>
            <w:hideMark/>
          </w:tcPr>
          <w:p w:rsidR="00590DD1" w:rsidRPr="00B16EC1" w:rsidRDefault="007D12C9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3320.7</w:t>
            </w:r>
          </w:p>
        </w:tc>
        <w:tc>
          <w:tcPr>
            <w:tcW w:w="1149" w:type="pct"/>
            <w:hideMark/>
          </w:tcPr>
          <w:p w:rsidR="00590DD1" w:rsidRPr="00B16EC1" w:rsidRDefault="000819AB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40.8</w:t>
            </w:r>
          </w:p>
        </w:tc>
      </w:tr>
      <w:tr w:rsidR="00590DD1" w:rsidRPr="00034992" w:rsidTr="00213C3F">
        <w:trPr>
          <w:trHeight w:val="521"/>
        </w:trPr>
        <w:tc>
          <w:tcPr>
            <w:tcW w:w="2574" w:type="pct"/>
            <w:hideMark/>
          </w:tcPr>
          <w:p w:rsidR="00590DD1" w:rsidRPr="00B16EC1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16EC1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食用坚果</w:t>
            </w:r>
          </w:p>
        </w:tc>
        <w:tc>
          <w:tcPr>
            <w:tcW w:w="1277" w:type="pct"/>
            <w:hideMark/>
          </w:tcPr>
          <w:p w:rsidR="00590DD1" w:rsidRPr="00B16EC1" w:rsidRDefault="007D12C9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2117.6</w:t>
            </w:r>
          </w:p>
        </w:tc>
        <w:tc>
          <w:tcPr>
            <w:tcW w:w="1149" w:type="pct"/>
            <w:hideMark/>
          </w:tcPr>
          <w:p w:rsidR="00590DD1" w:rsidRPr="00B16EC1" w:rsidRDefault="007D12C9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32.0</w:t>
            </w:r>
          </w:p>
        </w:tc>
      </w:tr>
    </w:tbl>
    <w:p w:rsidR="00590DD1" w:rsidRPr="00213C3F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lastRenderedPageBreak/>
        <w:t>全年全</w:t>
      </w:r>
      <w:r w:rsidR="00724A50"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猪牛羊肉总产量</w:t>
      </w:r>
      <w:r w:rsidR="003C2D0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17415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吨，比上年</w:t>
      </w:r>
      <w:r w:rsidR="003C2D0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增长3.9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%。其中，猪肉产量</w:t>
      </w:r>
      <w:r w:rsidR="003C2D0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12900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吨，</w:t>
      </w:r>
      <w:r w:rsidR="00FF5D12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下降</w:t>
      </w:r>
      <w:r w:rsidR="003C2D0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11.4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%；牛肉产量</w:t>
      </w:r>
      <w:r w:rsidR="003C2D0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772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吨，</w:t>
      </w:r>
      <w:r w:rsidR="003C2D0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增长1.9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%；羊肉产量</w:t>
      </w:r>
      <w:r w:rsidR="003C2D0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1314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吨，</w:t>
      </w:r>
      <w:r w:rsidR="003C2D0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下降8.8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%。年末生猪存栏</w:t>
      </w:r>
      <w:r w:rsidR="003C2D0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110282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头，生猪出栏</w:t>
      </w:r>
      <w:r w:rsidR="003C2D0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164010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头。牛奶产量</w:t>
      </w:r>
      <w:r w:rsidR="003C2D0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3940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吨，下降</w:t>
      </w:r>
      <w:r w:rsidR="003C2D0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2.6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%。禽蛋产量</w:t>
      </w:r>
      <w:r w:rsidR="003C2D0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25544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吨，</w:t>
      </w:r>
      <w:r w:rsidR="003C2D0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增长12.7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%。水产品产量</w:t>
      </w:r>
      <w:r w:rsidR="003C2D0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1288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吨，</w:t>
      </w:r>
      <w:r w:rsidR="003C2D0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下降1.0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</w:t>
      </w:r>
    </w:p>
    <w:p w:rsidR="00590DD1" w:rsidRPr="00213C3F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年末全</w:t>
      </w:r>
      <w:r w:rsidR="00724A50"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农业机械总动力</w:t>
      </w:r>
      <w:r w:rsidR="003C2D0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35.93</w:t>
      </w:r>
      <w:r w:rsidR="004555D2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万千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瓦，</w:t>
      </w:r>
      <w:r w:rsidR="003C2D0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下降67.9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%。机械耕地面积</w:t>
      </w:r>
      <w:r w:rsidR="003C2D0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49200</w:t>
      </w:r>
      <w:r w:rsidR="004555D2"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公顷，</w:t>
      </w:r>
      <w:r w:rsidR="004555D2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下降</w:t>
      </w:r>
      <w:r w:rsidR="003C2D0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2.4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%，机械播种面积</w:t>
      </w:r>
      <w:r w:rsidR="003C2D0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68731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公顷，</w:t>
      </w:r>
      <w:r w:rsidR="004555D2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下降1.</w:t>
      </w:r>
      <w:r w:rsidR="003C2D0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4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%，机械收获面积</w:t>
      </w:r>
      <w:r w:rsidR="003C2D0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64518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公顷，</w:t>
      </w:r>
      <w:r w:rsidR="004555D2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增长</w:t>
      </w:r>
      <w:r w:rsidR="003C2D0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3.9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%。全</w:t>
      </w:r>
      <w:r w:rsidR="00724A50"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农机化经营总收入达到</w:t>
      </w:r>
      <w:r w:rsidR="003C2D0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18905</w:t>
      </w:r>
      <w:r w:rsidR="004555D2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</w:t>
      </w:r>
      <w:r w:rsidR="003C2D0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降低38.4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</w:t>
      </w:r>
    </w:p>
    <w:p w:rsidR="00590DD1" w:rsidRPr="00B16EC1" w:rsidRDefault="00590DD1" w:rsidP="00213C3F">
      <w:pPr>
        <w:widowControl/>
        <w:spacing w:before="100" w:beforeAutospacing="1" w:after="100" w:afterAutospacing="1" w:line="420" w:lineRule="atLeast"/>
        <w:ind w:firstLineChars="200" w:firstLine="720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B16EC1">
        <w:rPr>
          <w:rFonts w:ascii="黑体" w:eastAsia="黑体" w:hAnsi="黑体" w:cs="宋体"/>
          <w:kern w:val="0"/>
          <w:sz w:val="36"/>
          <w:szCs w:val="36"/>
        </w:rPr>
        <w:t>三、工业和建筑业</w:t>
      </w:r>
    </w:p>
    <w:p w:rsidR="00590DD1" w:rsidRPr="00213C3F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年末全</w:t>
      </w:r>
      <w:r w:rsidR="00724A50"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规模以上工业企业</w:t>
      </w:r>
      <w:r w:rsidR="001C1C7F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5</w:t>
      </w:r>
      <w:r w:rsidR="0033380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8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家。全年规模以上工业</w:t>
      </w:r>
      <w:r w:rsidR="001C1C7F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实现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增加值</w:t>
      </w:r>
      <w:r w:rsidR="0033380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390897</w:t>
      </w:r>
      <w:r w:rsidR="001C1C7F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万元，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同比下降</w:t>
      </w:r>
      <w:r w:rsidR="0033380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1.4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</w:t>
      </w:r>
    </w:p>
    <w:p w:rsidR="00590DD1" w:rsidRPr="00253D85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253D85">
        <w:rPr>
          <w:rFonts w:ascii="黑体" w:eastAsia="黑体" w:hAnsi="黑体" w:cs="宋体"/>
          <w:kern w:val="0"/>
          <w:sz w:val="30"/>
          <w:szCs w:val="30"/>
        </w:rPr>
        <w:t>图3 201</w:t>
      </w:r>
      <w:r w:rsidR="00FF6F87">
        <w:rPr>
          <w:rFonts w:ascii="黑体" w:eastAsia="黑体" w:hAnsi="黑体" w:cs="宋体" w:hint="eastAsia"/>
          <w:kern w:val="0"/>
          <w:sz w:val="30"/>
          <w:szCs w:val="30"/>
        </w:rPr>
        <w:t>2</w:t>
      </w:r>
      <w:r w:rsidRPr="00253D85">
        <w:rPr>
          <w:rFonts w:ascii="黑体" w:eastAsia="黑体" w:hAnsi="黑体" w:cs="宋体"/>
          <w:kern w:val="0"/>
          <w:sz w:val="30"/>
          <w:szCs w:val="30"/>
        </w:rPr>
        <w:t>-201</w:t>
      </w:r>
      <w:r w:rsidR="00FF6F87">
        <w:rPr>
          <w:rFonts w:ascii="黑体" w:eastAsia="黑体" w:hAnsi="黑体" w:cs="宋体" w:hint="eastAsia"/>
          <w:kern w:val="0"/>
          <w:sz w:val="30"/>
          <w:szCs w:val="30"/>
        </w:rPr>
        <w:t>6</w:t>
      </w:r>
      <w:r w:rsidRPr="00253D85">
        <w:rPr>
          <w:rFonts w:ascii="黑体" w:eastAsia="黑体" w:hAnsi="黑体" w:cs="宋体"/>
          <w:kern w:val="0"/>
          <w:sz w:val="30"/>
          <w:szCs w:val="30"/>
        </w:rPr>
        <w:t>年规模以上工业增加值增长速度</w:t>
      </w:r>
    </w:p>
    <w:p w:rsidR="00590DD1" w:rsidRPr="009D4981" w:rsidRDefault="001C1C7F" w:rsidP="00213C3F">
      <w:pPr>
        <w:widowControl/>
        <w:spacing w:before="100" w:beforeAutospacing="1" w:after="100" w:afterAutospacing="1" w:line="420" w:lineRule="atLeast"/>
        <w:ind w:firstLineChars="200" w:firstLine="600"/>
        <w:jc w:val="center"/>
        <w:rPr>
          <w:rFonts w:asciiTheme="minorEastAsia" w:hAnsiTheme="minorEastAsia" w:cs="宋体"/>
          <w:kern w:val="0"/>
          <w:sz w:val="30"/>
          <w:szCs w:val="30"/>
        </w:rPr>
      </w:pPr>
      <w:r w:rsidRPr="009D4981">
        <w:rPr>
          <w:rFonts w:asciiTheme="minorEastAsia" w:hAnsiTheme="minorEastAsia" w:cs="宋体"/>
          <w:noProof/>
          <w:kern w:val="0"/>
          <w:sz w:val="30"/>
          <w:szCs w:val="30"/>
        </w:rPr>
        <w:drawing>
          <wp:inline distT="0" distB="0" distL="0" distR="0">
            <wp:extent cx="5276850" cy="2200275"/>
            <wp:effectExtent l="0" t="0" r="0" b="0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90DD1" w:rsidRPr="00213C3F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center"/>
        <w:rPr>
          <w:rFonts w:ascii="黑体" w:eastAsia="黑体" w:hAnsi="黑体" w:cs="宋体"/>
          <w:color w:val="000000" w:themeColor="text1"/>
          <w:kern w:val="0"/>
          <w:sz w:val="30"/>
          <w:szCs w:val="30"/>
        </w:rPr>
      </w:pPr>
      <w:r w:rsidRPr="00213C3F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lastRenderedPageBreak/>
        <w:t>表3 201</w:t>
      </w:r>
      <w:r w:rsidR="009525DB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>6</w:t>
      </w:r>
      <w:r w:rsidRPr="00213C3F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年规模以上工业增加值增长速度</w:t>
      </w:r>
    </w:p>
    <w:tbl>
      <w:tblPr>
        <w:tblW w:w="0" w:type="auto"/>
        <w:jc w:val="center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925"/>
        <w:gridCol w:w="1740"/>
      </w:tblGrid>
      <w:tr w:rsidR="00590DD1" w:rsidRPr="009D4981" w:rsidTr="009B483A">
        <w:trPr>
          <w:trHeight w:hRule="exact" w:val="680"/>
          <w:jc w:val="center"/>
        </w:trPr>
        <w:tc>
          <w:tcPr>
            <w:tcW w:w="5925" w:type="dxa"/>
            <w:vAlign w:val="center"/>
            <w:hideMark/>
          </w:tcPr>
          <w:p w:rsidR="00590DD1" w:rsidRPr="009B483A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/>
                <w:kern w:val="0"/>
                <w:sz w:val="28"/>
                <w:szCs w:val="28"/>
              </w:rPr>
              <w:t xml:space="preserve">指 </w:t>
            </w:r>
            <w:r w:rsidR="00CB299F" w:rsidRPr="009B483A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 w:rsidRPr="009B483A">
              <w:rPr>
                <w:rFonts w:asciiTheme="minorEastAsia" w:hAnsiTheme="minorEastAsia" w:cs="宋体"/>
                <w:kern w:val="0"/>
                <w:sz w:val="28"/>
                <w:szCs w:val="28"/>
              </w:rPr>
              <w:t>标</w:t>
            </w:r>
          </w:p>
        </w:tc>
        <w:tc>
          <w:tcPr>
            <w:tcW w:w="1740" w:type="dxa"/>
            <w:vAlign w:val="center"/>
            <w:hideMark/>
          </w:tcPr>
          <w:p w:rsidR="00590DD1" w:rsidRPr="009B483A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/>
                <w:kern w:val="0"/>
                <w:sz w:val="28"/>
                <w:szCs w:val="28"/>
              </w:rPr>
              <w:t>比上年增长%</w:t>
            </w:r>
          </w:p>
        </w:tc>
      </w:tr>
      <w:tr w:rsidR="00590DD1" w:rsidRPr="009D4981" w:rsidTr="009B483A">
        <w:trPr>
          <w:trHeight w:hRule="exact" w:val="680"/>
          <w:jc w:val="center"/>
        </w:trPr>
        <w:tc>
          <w:tcPr>
            <w:tcW w:w="5925" w:type="dxa"/>
            <w:vAlign w:val="bottom"/>
            <w:hideMark/>
          </w:tcPr>
          <w:p w:rsidR="00590DD1" w:rsidRPr="009B483A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/>
                <w:kern w:val="0"/>
                <w:sz w:val="28"/>
                <w:szCs w:val="28"/>
              </w:rPr>
              <w:t>规模以上工业</w:t>
            </w:r>
          </w:p>
        </w:tc>
        <w:tc>
          <w:tcPr>
            <w:tcW w:w="1740" w:type="dxa"/>
            <w:vAlign w:val="center"/>
            <w:hideMark/>
          </w:tcPr>
          <w:p w:rsidR="00590DD1" w:rsidRPr="009B483A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/>
                <w:kern w:val="0"/>
                <w:sz w:val="28"/>
                <w:szCs w:val="28"/>
              </w:rPr>
              <w:t>-</w:t>
            </w:r>
            <w:r w:rsidR="009C038C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1.4</w:t>
            </w:r>
          </w:p>
        </w:tc>
      </w:tr>
      <w:tr w:rsidR="00590DD1" w:rsidRPr="009D4981" w:rsidTr="009B483A">
        <w:trPr>
          <w:trHeight w:hRule="exact" w:val="680"/>
          <w:jc w:val="center"/>
        </w:trPr>
        <w:tc>
          <w:tcPr>
            <w:tcW w:w="5925" w:type="dxa"/>
            <w:vAlign w:val="bottom"/>
            <w:hideMark/>
          </w:tcPr>
          <w:p w:rsidR="00590DD1" w:rsidRPr="009B483A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/>
                <w:kern w:val="0"/>
                <w:sz w:val="28"/>
                <w:szCs w:val="28"/>
              </w:rPr>
              <w:t>其中：轻工业</w:t>
            </w:r>
          </w:p>
        </w:tc>
        <w:tc>
          <w:tcPr>
            <w:tcW w:w="1740" w:type="dxa"/>
            <w:vAlign w:val="center"/>
            <w:hideMark/>
          </w:tcPr>
          <w:p w:rsidR="00590DD1" w:rsidRPr="009B483A" w:rsidRDefault="009C038C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1869.5</w:t>
            </w:r>
          </w:p>
        </w:tc>
      </w:tr>
      <w:tr w:rsidR="00590DD1" w:rsidRPr="009D4981" w:rsidTr="009B483A">
        <w:trPr>
          <w:trHeight w:hRule="exact" w:val="680"/>
          <w:jc w:val="center"/>
        </w:trPr>
        <w:tc>
          <w:tcPr>
            <w:tcW w:w="5925" w:type="dxa"/>
            <w:vAlign w:val="bottom"/>
            <w:hideMark/>
          </w:tcPr>
          <w:p w:rsidR="00590DD1" w:rsidRPr="009B483A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/>
                <w:kern w:val="0"/>
                <w:sz w:val="28"/>
                <w:szCs w:val="28"/>
              </w:rPr>
              <w:t>重工业</w:t>
            </w:r>
          </w:p>
        </w:tc>
        <w:tc>
          <w:tcPr>
            <w:tcW w:w="1740" w:type="dxa"/>
            <w:vAlign w:val="center"/>
            <w:hideMark/>
          </w:tcPr>
          <w:p w:rsidR="00590DD1" w:rsidRPr="009B483A" w:rsidRDefault="00BF31C5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</w:t>
            </w:r>
            <w:r w:rsidR="009C038C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8.7</w:t>
            </w:r>
          </w:p>
        </w:tc>
      </w:tr>
      <w:tr w:rsidR="00590DD1" w:rsidRPr="009D4981" w:rsidTr="009B483A">
        <w:trPr>
          <w:trHeight w:hRule="exact" w:val="680"/>
          <w:jc w:val="center"/>
        </w:trPr>
        <w:tc>
          <w:tcPr>
            <w:tcW w:w="5925" w:type="dxa"/>
            <w:vAlign w:val="bottom"/>
            <w:hideMark/>
          </w:tcPr>
          <w:p w:rsidR="00590DD1" w:rsidRPr="009B483A" w:rsidRDefault="009C038C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集体企业</w:t>
            </w:r>
          </w:p>
        </w:tc>
        <w:tc>
          <w:tcPr>
            <w:tcW w:w="1740" w:type="dxa"/>
            <w:vAlign w:val="center"/>
            <w:hideMark/>
          </w:tcPr>
          <w:p w:rsidR="00590DD1" w:rsidRPr="009B483A" w:rsidRDefault="009C038C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-25.3</w:t>
            </w:r>
          </w:p>
        </w:tc>
      </w:tr>
      <w:tr w:rsidR="00590DD1" w:rsidRPr="009D4981" w:rsidTr="009B483A">
        <w:trPr>
          <w:trHeight w:hRule="exact" w:val="680"/>
          <w:jc w:val="center"/>
        </w:trPr>
        <w:tc>
          <w:tcPr>
            <w:tcW w:w="5925" w:type="dxa"/>
            <w:vAlign w:val="bottom"/>
            <w:hideMark/>
          </w:tcPr>
          <w:p w:rsidR="00590DD1" w:rsidRPr="009B483A" w:rsidRDefault="009C038C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/>
                <w:kern w:val="0"/>
                <w:sz w:val="28"/>
                <w:szCs w:val="28"/>
              </w:rPr>
              <w:t>股份制企业</w:t>
            </w:r>
          </w:p>
        </w:tc>
        <w:tc>
          <w:tcPr>
            <w:tcW w:w="1740" w:type="dxa"/>
            <w:vAlign w:val="center"/>
            <w:hideMark/>
          </w:tcPr>
          <w:p w:rsidR="00590DD1" w:rsidRPr="009B483A" w:rsidRDefault="009C038C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11.1</w:t>
            </w:r>
          </w:p>
        </w:tc>
      </w:tr>
      <w:tr w:rsidR="00590DD1" w:rsidRPr="009D4981" w:rsidTr="009B483A">
        <w:trPr>
          <w:trHeight w:hRule="exact" w:val="680"/>
          <w:jc w:val="center"/>
        </w:trPr>
        <w:tc>
          <w:tcPr>
            <w:tcW w:w="5925" w:type="dxa"/>
            <w:vAlign w:val="bottom"/>
            <w:hideMark/>
          </w:tcPr>
          <w:p w:rsidR="00590DD1" w:rsidRPr="009B483A" w:rsidRDefault="009C038C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/>
                <w:kern w:val="0"/>
                <w:sz w:val="28"/>
                <w:szCs w:val="28"/>
              </w:rPr>
              <w:t>外商及港澳台商投资</w:t>
            </w:r>
          </w:p>
        </w:tc>
        <w:tc>
          <w:tcPr>
            <w:tcW w:w="1740" w:type="dxa"/>
            <w:vAlign w:val="center"/>
            <w:hideMark/>
          </w:tcPr>
          <w:p w:rsidR="00590DD1" w:rsidRPr="009B483A" w:rsidRDefault="00BF31C5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</w:t>
            </w:r>
            <w:r w:rsidR="009C038C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26.8</w:t>
            </w:r>
          </w:p>
        </w:tc>
      </w:tr>
      <w:tr w:rsidR="00590DD1" w:rsidRPr="009D4981" w:rsidTr="009B483A">
        <w:trPr>
          <w:trHeight w:hRule="exact" w:val="680"/>
          <w:jc w:val="center"/>
        </w:trPr>
        <w:tc>
          <w:tcPr>
            <w:tcW w:w="5925" w:type="dxa"/>
            <w:vAlign w:val="bottom"/>
            <w:hideMark/>
          </w:tcPr>
          <w:p w:rsidR="00590DD1" w:rsidRPr="009B483A" w:rsidRDefault="009C038C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其中:国有控股企业</w:t>
            </w:r>
          </w:p>
        </w:tc>
        <w:tc>
          <w:tcPr>
            <w:tcW w:w="1740" w:type="dxa"/>
            <w:vAlign w:val="center"/>
            <w:hideMark/>
          </w:tcPr>
          <w:p w:rsidR="00590DD1" w:rsidRPr="009B483A" w:rsidRDefault="009C038C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1.0</w:t>
            </w:r>
          </w:p>
        </w:tc>
      </w:tr>
      <w:tr w:rsidR="00590DD1" w:rsidRPr="009D4981" w:rsidTr="009B483A">
        <w:trPr>
          <w:trHeight w:hRule="exact" w:val="680"/>
          <w:jc w:val="center"/>
        </w:trPr>
        <w:tc>
          <w:tcPr>
            <w:tcW w:w="5925" w:type="dxa"/>
            <w:vAlign w:val="bottom"/>
            <w:hideMark/>
          </w:tcPr>
          <w:p w:rsidR="00590DD1" w:rsidRPr="009B483A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/>
                <w:kern w:val="0"/>
                <w:sz w:val="28"/>
                <w:szCs w:val="28"/>
              </w:rPr>
              <w:t>其中：煤炭工业</w:t>
            </w:r>
          </w:p>
        </w:tc>
        <w:tc>
          <w:tcPr>
            <w:tcW w:w="1740" w:type="dxa"/>
            <w:vAlign w:val="center"/>
            <w:hideMark/>
          </w:tcPr>
          <w:p w:rsidR="00590DD1" w:rsidRPr="009B483A" w:rsidRDefault="00BF31C5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</w:t>
            </w:r>
            <w:r w:rsidR="002535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12.8</w:t>
            </w:r>
          </w:p>
        </w:tc>
      </w:tr>
      <w:tr w:rsidR="00590DD1" w:rsidRPr="009D4981" w:rsidTr="009B483A">
        <w:trPr>
          <w:trHeight w:hRule="exact" w:val="680"/>
          <w:jc w:val="center"/>
        </w:trPr>
        <w:tc>
          <w:tcPr>
            <w:tcW w:w="5925" w:type="dxa"/>
            <w:vAlign w:val="bottom"/>
            <w:hideMark/>
          </w:tcPr>
          <w:p w:rsidR="00590DD1" w:rsidRPr="009B483A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/>
                <w:kern w:val="0"/>
                <w:sz w:val="28"/>
                <w:szCs w:val="28"/>
              </w:rPr>
              <w:t>焦炭工业</w:t>
            </w:r>
          </w:p>
        </w:tc>
        <w:tc>
          <w:tcPr>
            <w:tcW w:w="1740" w:type="dxa"/>
            <w:vAlign w:val="center"/>
            <w:hideMark/>
          </w:tcPr>
          <w:p w:rsidR="00590DD1" w:rsidRPr="009B483A" w:rsidRDefault="002535F7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32.4</w:t>
            </w:r>
          </w:p>
        </w:tc>
      </w:tr>
      <w:tr w:rsidR="00590DD1" w:rsidRPr="009D4981" w:rsidTr="009B483A">
        <w:trPr>
          <w:trHeight w:hRule="exact" w:val="680"/>
          <w:jc w:val="center"/>
        </w:trPr>
        <w:tc>
          <w:tcPr>
            <w:tcW w:w="5925" w:type="dxa"/>
            <w:vAlign w:val="bottom"/>
            <w:hideMark/>
          </w:tcPr>
          <w:p w:rsidR="00590DD1" w:rsidRPr="009B483A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/>
                <w:kern w:val="0"/>
                <w:sz w:val="28"/>
                <w:szCs w:val="28"/>
              </w:rPr>
              <w:t>电力工业</w:t>
            </w:r>
          </w:p>
        </w:tc>
        <w:tc>
          <w:tcPr>
            <w:tcW w:w="1740" w:type="dxa"/>
            <w:vAlign w:val="center"/>
            <w:hideMark/>
          </w:tcPr>
          <w:p w:rsidR="00590DD1" w:rsidRPr="009B483A" w:rsidRDefault="002535F7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15.7</w:t>
            </w:r>
          </w:p>
        </w:tc>
      </w:tr>
      <w:tr w:rsidR="00590DD1" w:rsidRPr="009D4981" w:rsidTr="009B483A">
        <w:trPr>
          <w:trHeight w:hRule="exact" w:val="680"/>
          <w:jc w:val="center"/>
        </w:trPr>
        <w:tc>
          <w:tcPr>
            <w:tcW w:w="5925" w:type="dxa"/>
            <w:vAlign w:val="bottom"/>
            <w:hideMark/>
          </w:tcPr>
          <w:p w:rsidR="00590DD1" w:rsidRPr="009B483A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/>
                <w:kern w:val="0"/>
                <w:sz w:val="28"/>
                <w:szCs w:val="28"/>
              </w:rPr>
              <w:t>化学工业</w:t>
            </w:r>
          </w:p>
        </w:tc>
        <w:tc>
          <w:tcPr>
            <w:tcW w:w="1740" w:type="dxa"/>
            <w:vAlign w:val="center"/>
            <w:hideMark/>
          </w:tcPr>
          <w:p w:rsidR="00590DD1" w:rsidRPr="009B483A" w:rsidRDefault="002535F7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1.0</w:t>
            </w:r>
          </w:p>
        </w:tc>
      </w:tr>
      <w:tr w:rsidR="00590DD1" w:rsidRPr="009D4981" w:rsidTr="009B483A">
        <w:trPr>
          <w:trHeight w:hRule="exact" w:val="680"/>
          <w:jc w:val="center"/>
        </w:trPr>
        <w:tc>
          <w:tcPr>
            <w:tcW w:w="5925" w:type="dxa"/>
            <w:vAlign w:val="bottom"/>
            <w:hideMark/>
          </w:tcPr>
          <w:p w:rsidR="00590DD1" w:rsidRPr="009B483A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/>
                <w:kern w:val="0"/>
                <w:sz w:val="28"/>
                <w:szCs w:val="28"/>
              </w:rPr>
              <w:t>建材工业</w:t>
            </w:r>
          </w:p>
        </w:tc>
        <w:tc>
          <w:tcPr>
            <w:tcW w:w="1740" w:type="dxa"/>
            <w:vAlign w:val="center"/>
            <w:hideMark/>
          </w:tcPr>
          <w:p w:rsidR="00590DD1" w:rsidRPr="009B483A" w:rsidRDefault="002535F7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-45.1</w:t>
            </w:r>
          </w:p>
        </w:tc>
      </w:tr>
      <w:tr w:rsidR="00590DD1" w:rsidRPr="009D4981" w:rsidTr="009B483A">
        <w:trPr>
          <w:trHeight w:hRule="exact" w:val="680"/>
          <w:jc w:val="center"/>
        </w:trPr>
        <w:tc>
          <w:tcPr>
            <w:tcW w:w="5925" w:type="dxa"/>
            <w:vAlign w:val="bottom"/>
            <w:hideMark/>
          </w:tcPr>
          <w:p w:rsidR="00590DD1" w:rsidRPr="009B483A" w:rsidRDefault="00B14622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农副食品加工业</w:t>
            </w:r>
          </w:p>
        </w:tc>
        <w:tc>
          <w:tcPr>
            <w:tcW w:w="1740" w:type="dxa"/>
            <w:vAlign w:val="center"/>
            <w:hideMark/>
          </w:tcPr>
          <w:p w:rsidR="00590DD1" w:rsidRPr="009B483A" w:rsidRDefault="00B14622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</w:t>
            </w:r>
            <w:r w:rsidR="002535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8.6</w:t>
            </w:r>
          </w:p>
        </w:tc>
      </w:tr>
      <w:tr w:rsidR="00590DD1" w:rsidRPr="009D4981" w:rsidTr="009B483A">
        <w:trPr>
          <w:trHeight w:hRule="exact" w:val="680"/>
          <w:jc w:val="center"/>
        </w:trPr>
        <w:tc>
          <w:tcPr>
            <w:tcW w:w="5925" w:type="dxa"/>
            <w:vAlign w:val="bottom"/>
            <w:hideMark/>
          </w:tcPr>
          <w:p w:rsidR="00590DD1" w:rsidRPr="009B483A" w:rsidRDefault="00B14622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燃气生产和供应业</w:t>
            </w:r>
          </w:p>
        </w:tc>
        <w:tc>
          <w:tcPr>
            <w:tcW w:w="1740" w:type="dxa"/>
            <w:vAlign w:val="center"/>
            <w:hideMark/>
          </w:tcPr>
          <w:p w:rsidR="00590DD1" w:rsidRPr="009B483A" w:rsidRDefault="002535F7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-26.8</w:t>
            </w:r>
          </w:p>
        </w:tc>
      </w:tr>
      <w:tr w:rsidR="00590DD1" w:rsidRPr="009D4981" w:rsidTr="009B483A">
        <w:trPr>
          <w:trHeight w:hRule="exact" w:val="680"/>
          <w:jc w:val="center"/>
        </w:trPr>
        <w:tc>
          <w:tcPr>
            <w:tcW w:w="5925" w:type="dxa"/>
            <w:vAlign w:val="bottom"/>
            <w:hideMark/>
          </w:tcPr>
          <w:p w:rsidR="00590DD1" w:rsidRPr="009B483A" w:rsidRDefault="00B14622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B483A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黑色金属冶炼和压延加工业</w:t>
            </w:r>
          </w:p>
        </w:tc>
        <w:tc>
          <w:tcPr>
            <w:tcW w:w="1740" w:type="dxa"/>
            <w:vAlign w:val="center"/>
            <w:hideMark/>
          </w:tcPr>
          <w:p w:rsidR="00590DD1" w:rsidRPr="009B483A" w:rsidRDefault="002535F7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7.3</w:t>
            </w:r>
          </w:p>
        </w:tc>
      </w:tr>
    </w:tbl>
    <w:p w:rsidR="00590DD1" w:rsidRPr="00213C3F" w:rsidRDefault="00F406EA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规模以上</w:t>
      </w:r>
      <w:r w:rsidR="00590DD1"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工业企业原煤产量</w:t>
      </w:r>
      <w:r w:rsidR="002535F7" w:rsidRPr="00213C3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740.25</w:t>
      </w:r>
      <w:r w:rsidR="00590DD1"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万吨，</w:t>
      </w:r>
      <w:r w:rsidR="002535F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下降14.4</w:t>
      </w:r>
      <w:r w:rsidR="009D4981"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</w:t>
      </w:r>
      <w:r w:rsidR="009D4981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；洗精煤</w:t>
      </w:r>
      <w:r w:rsidR="009D4981"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产量</w:t>
      </w:r>
      <w:r w:rsidR="002535F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1835.73</w:t>
      </w:r>
      <w:r w:rsidR="009D4981"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万吨，下降</w:t>
      </w:r>
      <w:r w:rsidR="002535F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6.0</w:t>
      </w:r>
      <w:r w:rsidR="009D4981"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</w:t>
      </w:r>
      <w:r w:rsidR="00590DD1"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；焦炭产量</w:t>
      </w:r>
      <w:r w:rsidR="002535F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413.52</w:t>
      </w:r>
      <w:r w:rsidR="00590DD1"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万吨，</w:t>
      </w:r>
      <w:r w:rsidR="002535F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增长0.8</w:t>
      </w:r>
      <w:r w:rsidR="00590DD1"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%；</w:t>
      </w:r>
      <w:r w:rsidR="009D4981"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发电量</w:t>
      </w:r>
      <w:r w:rsidR="002535F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4170.90</w:t>
      </w:r>
      <w:r w:rsidR="009D4981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="009D4981"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千瓦时，</w:t>
      </w:r>
      <w:r w:rsidR="009D4981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增长</w:t>
      </w:r>
      <w:r w:rsidR="00B91B3D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21.3</w:t>
      </w:r>
      <w:r w:rsidR="009D4981"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</w:t>
      </w:r>
      <w:r w:rsidR="00590DD1"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。</w:t>
      </w:r>
    </w:p>
    <w:p w:rsidR="00590DD1" w:rsidRPr="00213C3F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center"/>
        <w:rPr>
          <w:rFonts w:ascii="黑体" w:eastAsia="黑体" w:hAnsi="黑体" w:cs="宋体"/>
          <w:color w:val="000000" w:themeColor="text1"/>
          <w:kern w:val="0"/>
          <w:sz w:val="30"/>
          <w:szCs w:val="30"/>
        </w:rPr>
      </w:pPr>
      <w:r w:rsidRPr="00213C3F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lastRenderedPageBreak/>
        <w:t>表4 201</w:t>
      </w:r>
      <w:r w:rsidR="009525DB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>6</w:t>
      </w:r>
      <w:r w:rsidRPr="00213C3F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年规模以上工业主要工业产品产量及其增长速度</w:t>
      </w:r>
    </w:p>
    <w:tbl>
      <w:tblPr>
        <w:tblW w:w="0" w:type="auto"/>
        <w:jc w:val="center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370"/>
        <w:gridCol w:w="1830"/>
        <w:gridCol w:w="1830"/>
        <w:gridCol w:w="2010"/>
      </w:tblGrid>
      <w:tr w:rsidR="00590DD1" w:rsidRPr="00C84495" w:rsidTr="009B483A">
        <w:trPr>
          <w:trHeight w:hRule="exact" w:val="681"/>
          <w:jc w:val="center"/>
        </w:trPr>
        <w:tc>
          <w:tcPr>
            <w:tcW w:w="2370" w:type="dxa"/>
            <w:vAlign w:val="center"/>
            <w:hideMark/>
          </w:tcPr>
          <w:p w:rsidR="00590DD1" w:rsidRPr="00C84495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产品名称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单 位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产 量</w:t>
            </w:r>
          </w:p>
        </w:tc>
        <w:tc>
          <w:tcPr>
            <w:tcW w:w="2010" w:type="dxa"/>
            <w:vAlign w:val="center"/>
            <w:hideMark/>
          </w:tcPr>
          <w:p w:rsidR="00590DD1" w:rsidRPr="00C84495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比上年增长%</w:t>
            </w:r>
          </w:p>
        </w:tc>
      </w:tr>
      <w:tr w:rsidR="00590DD1" w:rsidRPr="00C84495" w:rsidTr="009B483A">
        <w:trPr>
          <w:trHeight w:hRule="exact" w:val="567"/>
          <w:jc w:val="center"/>
        </w:trPr>
        <w:tc>
          <w:tcPr>
            <w:tcW w:w="2370" w:type="dxa"/>
            <w:vAlign w:val="center"/>
            <w:hideMark/>
          </w:tcPr>
          <w:p w:rsidR="00590DD1" w:rsidRPr="00C84495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原煤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万吨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0B58A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740.25</w:t>
            </w:r>
          </w:p>
        </w:tc>
        <w:tc>
          <w:tcPr>
            <w:tcW w:w="2010" w:type="dxa"/>
            <w:vAlign w:val="center"/>
            <w:hideMark/>
          </w:tcPr>
          <w:p w:rsidR="00590DD1" w:rsidRPr="00C84495" w:rsidRDefault="000B58A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-14.4</w:t>
            </w:r>
          </w:p>
        </w:tc>
      </w:tr>
      <w:tr w:rsidR="00590DD1" w:rsidRPr="00C84495" w:rsidTr="009B483A">
        <w:trPr>
          <w:trHeight w:hRule="exact" w:val="567"/>
          <w:jc w:val="center"/>
        </w:trPr>
        <w:tc>
          <w:tcPr>
            <w:tcW w:w="2370" w:type="dxa"/>
            <w:vAlign w:val="center"/>
            <w:hideMark/>
          </w:tcPr>
          <w:p w:rsidR="00590DD1" w:rsidRPr="00C84495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洗精煤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万吨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0B58A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1835.73</w:t>
            </w:r>
          </w:p>
        </w:tc>
        <w:tc>
          <w:tcPr>
            <w:tcW w:w="2010" w:type="dxa"/>
            <w:vAlign w:val="center"/>
            <w:hideMark/>
          </w:tcPr>
          <w:p w:rsidR="00590DD1" w:rsidRPr="00C84495" w:rsidRDefault="009D4981" w:rsidP="002C4A04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-</w:t>
            </w:r>
            <w:r w:rsidR="002C4A04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6.0</w:t>
            </w:r>
            <w:r w:rsidR="00590DD1"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 xml:space="preserve"> </w:t>
            </w:r>
          </w:p>
        </w:tc>
      </w:tr>
      <w:tr w:rsidR="00590DD1" w:rsidRPr="00C84495" w:rsidTr="009B483A">
        <w:trPr>
          <w:trHeight w:hRule="exact" w:val="567"/>
          <w:jc w:val="center"/>
        </w:trPr>
        <w:tc>
          <w:tcPr>
            <w:tcW w:w="2370" w:type="dxa"/>
            <w:vAlign w:val="center"/>
            <w:hideMark/>
          </w:tcPr>
          <w:p w:rsidR="00590DD1" w:rsidRPr="00C84495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焦炭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万吨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0B58A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413.52</w:t>
            </w:r>
            <w:r w:rsidR="00590DD1"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010" w:type="dxa"/>
            <w:vAlign w:val="center"/>
            <w:hideMark/>
          </w:tcPr>
          <w:p w:rsidR="00590DD1" w:rsidRPr="00C84495" w:rsidRDefault="000B58A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0.8</w:t>
            </w:r>
          </w:p>
        </w:tc>
      </w:tr>
      <w:tr w:rsidR="00590DD1" w:rsidRPr="00C84495" w:rsidTr="009B483A">
        <w:trPr>
          <w:trHeight w:hRule="exact" w:val="567"/>
          <w:jc w:val="center"/>
        </w:trPr>
        <w:tc>
          <w:tcPr>
            <w:tcW w:w="2370" w:type="dxa"/>
            <w:vAlign w:val="center"/>
            <w:hideMark/>
          </w:tcPr>
          <w:p w:rsidR="00590DD1" w:rsidRPr="00C84495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发电量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9D498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万</w:t>
            </w:r>
            <w:r w:rsidR="00590DD1"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千瓦时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0B58A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4170.90</w:t>
            </w:r>
          </w:p>
        </w:tc>
        <w:tc>
          <w:tcPr>
            <w:tcW w:w="2010" w:type="dxa"/>
            <w:vAlign w:val="center"/>
            <w:hideMark/>
          </w:tcPr>
          <w:p w:rsidR="00590DD1" w:rsidRPr="00C84495" w:rsidRDefault="000B58A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21.3</w:t>
            </w:r>
            <w:r w:rsidR="00590DD1"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 xml:space="preserve"> </w:t>
            </w:r>
          </w:p>
        </w:tc>
      </w:tr>
      <w:tr w:rsidR="00590DD1" w:rsidRPr="00C84495" w:rsidTr="009B483A">
        <w:trPr>
          <w:trHeight w:hRule="exact" w:val="567"/>
          <w:jc w:val="center"/>
        </w:trPr>
        <w:tc>
          <w:tcPr>
            <w:tcW w:w="2370" w:type="dxa"/>
            <w:vAlign w:val="center"/>
            <w:hideMark/>
          </w:tcPr>
          <w:p w:rsidR="00590DD1" w:rsidRPr="00C84495" w:rsidRDefault="009D498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1-4丁二醇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吨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0B58A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21864</w:t>
            </w:r>
          </w:p>
        </w:tc>
        <w:tc>
          <w:tcPr>
            <w:tcW w:w="2010" w:type="dxa"/>
            <w:vAlign w:val="center"/>
            <w:hideMark/>
          </w:tcPr>
          <w:p w:rsidR="00590DD1" w:rsidRPr="00C84495" w:rsidRDefault="00CB6768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-</w:t>
            </w:r>
            <w:r w:rsidR="000B58A1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65.4</w:t>
            </w:r>
          </w:p>
        </w:tc>
      </w:tr>
      <w:tr w:rsidR="00590DD1" w:rsidRPr="00C84495" w:rsidTr="009B483A">
        <w:trPr>
          <w:trHeight w:hRule="exact" w:val="567"/>
          <w:jc w:val="center"/>
        </w:trPr>
        <w:tc>
          <w:tcPr>
            <w:tcW w:w="2370" w:type="dxa"/>
            <w:vAlign w:val="center"/>
            <w:hideMark/>
          </w:tcPr>
          <w:p w:rsidR="00590DD1" w:rsidRPr="00C84495" w:rsidRDefault="009D498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聚乙烯醇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CB6768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吨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0B58A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40363</w:t>
            </w:r>
          </w:p>
        </w:tc>
        <w:tc>
          <w:tcPr>
            <w:tcW w:w="2010" w:type="dxa"/>
            <w:vAlign w:val="center"/>
            <w:hideMark/>
          </w:tcPr>
          <w:p w:rsidR="00590DD1" w:rsidRPr="00C84495" w:rsidRDefault="000B58A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-11.5</w:t>
            </w:r>
          </w:p>
        </w:tc>
      </w:tr>
      <w:tr w:rsidR="00590DD1" w:rsidRPr="00C84495" w:rsidTr="009B483A">
        <w:trPr>
          <w:trHeight w:hRule="exact" w:val="567"/>
          <w:jc w:val="center"/>
        </w:trPr>
        <w:tc>
          <w:tcPr>
            <w:tcW w:w="2370" w:type="dxa"/>
            <w:vAlign w:val="center"/>
            <w:hideMark/>
          </w:tcPr>
          <w:p w:rsidR="00590DD1" w:rsidRPr="00C84495" w:rsidRDefault="009D498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粗苯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吨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A34B82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51557</w:t>
            </w:r>
          </w:p>
        </w:tc>
        <w:tc>
          <w:tcPr>
            <w:tcW w:w="2010" w:type="dxa"/>
            <w:vAlign w:val="center"/>
            <w:hideMark/>
          </w:tcPr>
          <w:p w:rsidR="00590DD1" w:rsidRPr="00C84495" w:rsidRDefault="00A34B82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1.1</w:t>
            </w:r>
          </w:p>
        </w:tc>
      </w:tr>
      <w:tr w:rsidR="00590DD1" w:rsidRPr="00C84495" w:rsidTr="009B483A">
        <w:trPr>
          <w:trHeight w:hRule="exact" w:val="567"/>
          <w:jc w:val="center"/>
        </w:trPr>
        <w:tc>
          <w:tcPr>
            <w:tcW w:w="2370" w:type="dxa"/>
            <w:vAlign w:val="center"/>
            <w:hideMark/>
          </w:tcPr>
          <w:p w:rsidR="00590DD1" w:rsidRPr="00C84495" w:rsidRDefault="009D498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纯苯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吨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A34B82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61397</w:t>
            </w:r>
          </w:p>
        </w:tc>
        <w:tc>
          <w:tcPr>
            <w:tcW w:w="2010" w:type="dxa"/>
            <w:vAlign w:val="center"/>
            <w:hideMark/>
          </w:tcPr>
          <w:p w:rsidR="00590DD1" w:rsidRPr="00C84495" w:rsidRDefault="00A34B82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-18.6</w:t>
            </w:r>
          </w:p>
        </w:tc>
      </w:tr>
      <w:tr w:rsidR="00590DD1" w:rsidRPr="00C84495" w:rsidTr="009B483A">
        <w:trPr>
          <w:trHeight w:hRule="exact" w:val="567"/>
          <w:jc w:val="center"/>
        </w:trPr>
        <w:tc>
          <w:tcPr>
            <w:tcW w:w="2370" w:type="dxa"/>
            <w:vAlign w:val="center"/>
            <w:hideMark/>
          </w:tcPr>
          <w:p w:rsidR="00590DD1" w:rsidRPr="00C84495" w:rsidRDefault="009D498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精甲醇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吨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A34B82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210195</w:t>
            </w:r>
          </w:p>
        </w:tc>
        <w:tc>
          <w:tcPr>
            <w:tcW w:w="2010" w:type="dxa"/>
            <w:vAlign w:val="center"/>
            <w:hideMark/>
          </w:tcPr>
          <w:p w:rsidR="00590DD1" w:rsidRPr="00C84495" w:rsidRDefault="00A34B82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-8.5</w:t>
            </w:r>
          </w:p>
        </w:tc>
      </w:tr>
      <w:tr w:rsidR="00150BEE" w:rsidRPr="00C84495" w:rsidTr="009B483A">
        <w:trPr>
          <w:trHeight w:hRule="exact" w:val="567"/>
          <w:jc w:val="center"/>
        </w:trPr>
        <w:tc>
          <w:tcPr>
            <w:tcW w:w="2370" w:type="dxa"/>
            <w:vAlign w:val="center"/>
            <w:hideMark/>
          </w:tcPr>
          <w:p w:rsidR="00150BEE" w:rsidRPr="00C84495" w:rsidRDefault="00150BEE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锂离子电池</w:t>
            </w:r>
          </w:p>
        </w:tc>
        <w:tc>
          <w:tcPr>
            <w:tcW w:w="1830" w:type="dxa"/>
            <w:vAlign w:val="center"/>
            <w:hideMark/>
          </w:tcPr>
          <w:p w:rsidR="00150BEE" w:rsidRPr="00C84495" w:rsidRDefault="00150BEE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只</w:t>
            </w:r>
          </w:p>
        </w:tc>
        <w:tc>
          <w:tcPr>
            <w:tcW w:w="1830" w:type="dxa"/>
            <w:vAlign w:val="center"/>
            <w:hideMark/>
          </w:tcPr>
          <w:p w:rsidR="00150BEE" w:rsidRDefault="00150BEE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31584416</w:t>
            </w:r>
          </w:p>
        </w:tc>
        <w:tc>
          <w:tcPr>
            <w:tcW w:w="2010" w:type="dxa"/>
            <w:vAlign w:val="center"/>
            <w:hideMark/>
          </w:tcPr>
          <w:p w:rsidR="00150BEE" w:rsidRDefault="00150BEE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-</w:t>
            </w:r>
          </w:p>
        </w:tc>
      </w:tr>
      <w:tr w:rsidR="00590DD1" w:rsidRPr="00C84495" w:rsidTr="009B483A">
        <w:trPr>
          <w:trHeight w:hRule="exact" w:val="567"/>
          <w:jc w:val="center"/>
        </w:trPr>
        <w:tc>
          <w:tcPr>
            <w:tcW w:w="2370" w:type="dxa"/>
            <w:vAlign w:val="center"/>
            <w:hideMark/>
          </w:tcPr>
          <w:p w:rsidR="00590DD1" w:rsidRPr="00C84495" w:rsidRDefault="009D498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铁铸件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吨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A34B82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228139</w:t>
            </w:r>
          </w:p>
        </w:tc>
        <w:tc>
          <w:tcPr>
            <w:tcW w:w="2010" w:type="dxa"/>
            <w:vAlign w:val="center"/>
            <w:hideMark/>
          </w:tcPr>
          <w:p w:rsidR="00590DD1" w:rsidRPr="00C84495" w:rsidRDefault="00A34B82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6.0</w:t>
            </w:r>
          </w:p>
        </w:tc>
      </w:tr>
      <w:tr w:rsidR="00590DD1" w:rsidRPr="00C84495" w:rsidTr="009B483A">
        <w:trPr>
          <w:trHeight w:hRule="exact" w:val="567"/>
          <w:jc w:val="center"/>
        </w:trPr>
        <w:tc>
          <w:tcPr>
            <w:tcW w:w="2370" w:type="dxa"/>
            <w:vAlign w:val="center"/>
            <w:hideMark/>
          </w:tcPr>
          <w:p w:rsidR="00590DD1" w:rsidRPr="00C84495" w:rsidRDefault="009D498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煤气生产量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万</w:t>
            </w:r>
            <w:r w:rsidR="00CB6768" w:rsidRPr="00C8449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立方米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A34B82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89416</w:t>
            </w:r>
          </w:p>
        </w:tc>
        <w:tc>
          <w:tcPr>
            <w:tcW w:w="2010" w:type="dxa"/>
            <w:vAlign w:val="center"/>
            <w:hideMark/>
          </w:tcPr>
          <w:p w:rsidR="00590DD1" w:rsidRPr="00C84495" w:rsidRDefault="00A34B82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9.3</w:t>
            </w:r>
          </w:p>
        </w:tc>
      </w:tr>
      <w:tr w:rsidR="00590DD1" w:rsidRPr="00C84495" w:rsidTr="009B483A">
        <w:trPr>
          <w:trHeight w:hRule="exact" w:val="567"/>
          <w:jc w:val="center"/>
        </w:trPr>
        <w:tc>
          <w:tcPr>
            <w:tcW w:w="2370" w:type="dxa"/>
            <w:vAlign w:val="center"/>
            <w:hideMark/>
          </w:tcPr>
          <w:p w:rsidR="00590DD1" w:rsidRPr="00C84495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化肥（折纯）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吨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A34B82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8966</w:t>
            </w:r>
          </w:p>
        </w:tc>
        <w:tc>
          <w:tcPr>
            <w:tcW w:w="2010" w:type="dxa"/>
            <w:vAlign w:val="center"/>
            <w:hideMark/>
          </w:tcPr>
          <w:p w:rsidR="00590DD1" w:rsidRPr="00C84495" w:rsidRDefault="00A34B82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0.8</w:t>
            </w:r>
          </w:p>
        </w:tc>
      </w:tr>
      <w:tr w:rsidR="00590DD1" w:rsidRPr="00C84495" w:rsidTr="009B483A">
        <w:trPr>
          <w:trHeight w:hRule="exact" w:val="567"/>
          <w:jc w:val="center"/>
        </w:trPr>
        <w:tc>
          <w:tcPr>
            <w:tcW w:w="2370" w:type="dxa"/>
            <w:vAlign w:val="center"/>
            <w:hideMark/>
          </w:tcPr>
          <w:p w:rsidR="00590DD1" w:rsidRPr="00C84495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塑料制品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吨</w:t>
            </w:r>
          </w:p>
        </w:tc>
        <w:tc>
          <w:tcPr>
            <w:tcW w:w="1830" w:type="dxa"/>
            <w:vAlign w:val="center"/>
            <w:hideMark/>
          </w:tcPr>
          <w:p w:rsidR="00590DD1" w:rsidRPr="00C84495" w:rsidRDefault="00A34B82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2034</w:t>
            </w:r>
          </w:p>
        </w:tc>
        <w:tc>
          <w:tcPr>
            <w:tcW w:w="2010" w:type="dxa"/>
            <w:vAlign w:val="center"/>
            <w:hideMark/>
          </w:tcPr>
          <w:p w:rsidR="00590DD1" w:rsidRPr="00C84495" w:rsidRDefault="00A34B82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18.8</w:t>
            </w:r>
          </w:p>
        </w:tc>
      </w:tr>
    </w:tbl>
    <w:p w:rsidR="00590DD1" w:rsidRPr="00514DCB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kern w:val="0"/>
          <w:sz w:val="30"/>
          <w:szCs w:val="30"/>
        </w:rPr>
      </w:pPr>
      <w:r w:rsidRPr="00150BEE">
        <w:rPr>
          <w:rFonts w:asciiTheme="minorEastAsia" w:hAnsiTheme="minorEastAsia" w:cs="宋体"/>
          <w:kern w:val="0"/>
          <w:sz w:val="30"/>
          <w:szCs w:val="30"/>
        </w:rPr>
        <w:t>规模以上工业企业实现主营业务收入</w:t>
      </w:r>
      <w:r w:rsidR="005A5C50" w:rsidRPr="00150BEE">
        <w:rPr>
          <w:rFonts w:asciiTheme="minorEastAsia" w:hAnsiTheme="minorEastAsia" w:cs="宋体" w:hint="eastAsia"/>
          <w:kern w:val="0"/>
          <w:sz w:val="30"/>
          <w:szCs w:val="30"/>
        </w:rPr>
        <w:t>2818336</w:t>
      </w:r>
      <w:r w:rsidR="00275E0D" w:rsidRPr="00150BEE">
        <w:rPr>
          <w:rFonts w:asciiTheme="minorEastAsia" w:hAnsiTheme="minorEastAsia" w:cs="宋体" w:hint="eastAsia"/>
          <w:kern w:val="0"/>
          <w:sz w:val="30"/>
          <w:szCs w:val="30"/>
        </w:rPr>
        <w:t>万</w:t>
      </w:r>
      <w:r w:rsidRPr="00150BEE">
        <w:rPr>
          <w:rFonts w:asciiTheme="minorEastAsia" w:hAnsiTheme="minorEastAsia" w:cs="宋体"/>
          <w:kern w:val="0"/>
          <w:sz w:val="30"/>
          <w:szCs w:val="30"/>
        </w:rPr>
        <w:t>元，下降</w:t>
      </w:r>
      <w:r w:rsidR="005A5C50" w:rsidRPr="00150BEE">
        <w:rPr>
          <w:rFonts w:asciiTheme="minorEastAsia" w:hAnsiTheme="minorEastAsia" w:cs="宋体" w:hint="eastAsia"/>
          <w:kern w:val="0"/>
          <w:sz w:val="30"/>
          <w:szCs w:val="30"/>
        </w:rPr>
        <w:t>12.1</w:t>
      </w:r>
      <w:r w:rsidRPr="00150BEE">
        <w:rPr>
          <w:rFonts w:asciiTheme="minorEastAsia" w:hAnsiTheme="minorEastAsia" w:cs="宋体"/>
          <w:kern w:val="0"/>
          <w:sz w:val="30"/>
          <w:szCs w:val="30"/>
        </w:rPr>
        <w:t>%</w:t>
      </w:r>
      <w:r w:rsidRPr="005A5C50">
        <w:rPr>
          <w:rFonts w:asciiTheme="minorEastAsia" w:hAnsiTheme="minorEastAsia" w:cs="宋体"/>
          <w:color w:val="FF0000"/>
          <w:kern w:val="0"/>
          <w:sz w:val="30"/>
          <w:szCs w:val="30"/>
        </w:rPr>
        <w:t>。</w:t>
      </w:r>
      <w:r w:rsidRPr="00514DCB">
        <w:rPr>
          <w:rFonts w:asciiTheme="minorEastAsia" w:hAnsiTheme="minorEastAsia" w:cs="宋体"/>
          <w:kern w:val="0"/>
          <w:sz w:val="30"/>
          <w:szCs w:val="30"/>
        </w:rPr>
        <w:t>其中，</w:t>
      </w:r>
      <w:r w:rsidR="00514DCB" w:rsidRPr="00514DCB">
        <w:rPr>
          <w:rFonts w:asciiTheme="minorEastAsia" w:hAnsiTheme="minorEastAsia" w:cs="宋体" w:hint="eastAsia"/>
          <w:kern w:val="0"/>
          <w:sz w:val="30"/>
          <w:szCs w:val="30"/>
        </w:rPr>
        <w:t>炼焦、化学原料制造业、金属冶炼业、电力热力生产供应业和燃气生产供应业</w:t>
      </w:r>
      <w:r w:rsidR="00514DCB" w:rsidRPr="00514DCB">
        <w:rPr>
          <w:rFonts w:asciiTheme="minorEastAsia" w:hAnsiTheme="minorEastAsia" w:cs="宋体"/>
          <w:kern w:val="0"/>
          <w:sz w:val="30"/>
          <w:szCs w:val="30"/>
        </w:rPr>
        <w:t>分别实现主营业务收入</w:t>
      </w:r>
      <w:r w:rsidR="00150BEE">
        <w:rPr>
          <w:rFonts w:asciiTheme="minorEastAsia" w:hAnsiTheme="minorEastAsia" w:cs="宋体" w:hint="eastAsia"/>
          <w:kern w:val="0"/>
          <w:sz w:val="30"/>
          <w:szCs w:val="30"/>
        </w:rPr>
        <w:t>813413</w:t>
      </w:r>
      <w:r w:rsidR="00514DCB" w:rsidRPr="00514DCB">
        <w:rPr>
          <w:rFonts w:asciiTheme="minorEastAsia" w:hAnsiTheme="minorEastAsia" w:cs="宋体" w:hint="eastAsia"/>
          <w:kern w:val="0"/>
          <w:sz w:val="30"/>
          <w:szCs w:val="30"/>
        </w:rPr>
        <w:t>万</w:t>
      </w:r>
      <w:r w:rsidR="00514DCB" w:rsidRPr="00514DCB">
        <w:rPr>
          <w:rFonts w:asciiTheme="minorEastAsia" w:hAnsiTheme="minorEastAsia" w:cs="宋体"/>
          <w:kern w:val="0"/>
          <w:sz w:val="30"/>
          <w:szCs w:val="30"/>
        </w:rPr>
        <w:t>元、</w:t>
      </w:r>
      <w:r w:rsidR="00150BEE">
        <w:rPr>
          <w:rFonts w:asciiTheme="minorEastAsia" w:hAnsiTheme="minorEastAsia" w:cs="宋体" w:hint="eastAsia"/>
          <w:kern w:val="0"/>
          <w:sz w:val="30"/>
          <w:szCs w:val="30"/>
        </w:rPr>
        <w:t>398601</w:t>
      </w:r>
      <w:r w:rsidR="00514DCB" w:rsidRPr="00514DCB">
        <w:rPr>
          <w:rFonts w:asciiTheme="minorEastAsia" w:hAnsiTheme="minorEastAsia" w:cs="宋体" w:hint="eastAsia"/>
          <w:kern w:val="0"/>
          <w:sz w:val="30"/>
          <w:szCs w:val="30"/>
        </w:rPr>
        <w:t>万</w:t>
      </w:r>
      <w:r w:rsidR="00514DCB" w:rsidRPr="00514DCB">
        <w:rPr>
          <w:rFonts w:asciiTheme="minorEastAsia" w:hAnsiTheme="minorEastAsia" w:cs="宋体"/>
          <w:kern w:val="0"/>
          <w:sz w:val="30"/>
          <w:szCs w:val="30"/>
        </w:rPr>
        <w:t>元、</w:t>
      </w:r>
      <w:r w:rsidR="00150BEE">
        <w:rPr>
          <w:rFonts w:asciiTheme="minorEastAsia" w:hAnsiTheme="minorEastAsia" w:cs="宋体" w:hint="eastAsia"/>
          <w:kern w:val="0"/>
          <w:sz w:val="30"/>
          <w:szCs w:val="30"/>
        </w:rPr>
        <w:t>134721</w:t>
      </w:r>
      <w:r w:rsidR="00514DCB" w:rsidRPr="00514DCB">
        <w:rPr>
          <w:rFonts w:asciiTheme="minorEastAsia" w:hAnsiTheme="minorEastAsia" w:cs="宋体" w:hint="eastAsia"/>
          <w:kern w:val="0"/>
          <w:sz w:val="30"/>
          <w:szCs w:val="30"/>
        </w:rPr>
        <w:t>万</w:t>
      </w:r>
      <w:r w:rsidR="00514DCB" w:rsidRPr="00514DCB">
        <w:rPr>
          <w:rFonts w:asciiTheme="minorEastAsia" w:hAnsiTheme="minorEastAsia" w:cs="宋体"/>
          <w:kern w:val="0"/>
          <w:sz w:val="30"/>
          <w:szCs w:val="30"/>
        </w:rPr>
        <w:t>元、</w:t>
      </w:r>
      <w:r w:rsidR="00150BEE">
        <w:rPr>
          <w:rFonts w:asciiTheme="minorEastAsia" w:hAnsiTheme="minorEastAsia" w:cs="宋体" w:hint="eastAsia"/>
          <w:kern w:val="0"/>
          <w:sz w:val="30"/>
          <w:szCs w:val="30"/>
        </w:rPr>
        <w:t>6547</w:t>
      </w:r>
      <w:r w:rsidR="00514DCB" w:rsidRPr="00514DCB">
        <w:rPr>
          <w:rFonts w:asciiTheme="minorEastAsia" w:hAnsiTheme="minorEastAsia" w:cs="宋体" w:hint="eastAsia"/>
          <w:kern w:val="0"/>
          <w:sz w:val="30"/>
          <w:szCs w:val="30"/>
        </w:rPr>
        <w:t>万</w:t>
      </w:r>
      <w:r w:rsidR="00514DCB" w:rsidRPr="00514DCB">
        <w:rPr>
          <w:rFonts w:asciiTheme="minorEastAsia" w:hAnsiTheme="minorEastAsia" w:cs="宋体"/>
          <w:kern w:val="0"/>
          <w:sz w:val="30"/>
          <w:szCs w:val="30"/>
        </w:rPr>
        <w:t>元和</w:t>
      </w:r>
      <w:r w:rsidR="00150BEE">
        <w:rPr>
          <w:rFonts w:asciiTheme="minorEastAsia" w:hAnsiTheme="minorEastAsia" w:cs="宋体" w:hint="eastAsia"/>
          <w:kern w:val="0"/>
          <w:sz w:val="30"/>
          <w:szCs w:val="30"/>
        </w:rPr>
        <w:t>11367</w:t>
      </w:r>
      <w:r w:rsidR="00514DCB" w:rsidRPr="00514DCB">
        <w:rPr>
          <w:rFonts w:asciiTheme="minorEastAsia" w:hAnsiTheme="minorEastAsia" w:cs="宋体" w:hint="eastAsia"/>
          <w:kern w:val="0"/>
          <w:sz w:val="30"/>
          <w:szCs w:val="30"/>
        </w:rPr>
        <w:t>万</w:t>
      </w:r>
      <w:r w:rsidR="00514DCB" w:rsidRPr="00514DCB">
        <w:rPr>
          <w:rFonts w:asciiTheme="minorEastAsia" w:hAnsiTheme="minorEastAsia" w:cs="宋体"/>
          <w:kern w:val="0"/>
          <w:sz w:val="30"/>
          <w:szCs w:val="30"/>
        </w:rPr>
        <w:t>元，分别增长</w:t>
      </w:r>
      <w:r w:rsidR="00150BEE">
        <w:rPr>
          <w:rFonts w:asciiTheme="minorEastAsia" w:hAnsiTheme="minorEastAsia" w:cs="宋体" w:hint="eastAsia"/>
          <w:kern w:val="0"/>
          <w:sz w:val="30"/>
          <w:szCs w:val="30"/>
        </w:rPr>
        <w:t>6.14</w:t>
      </w:r>
      <w:r w:rsidR="00514DCB" w:rsidRPr="00514DCB">
        <w:rPr>
          <w:rFonts w:asciiTheme="minorEastAsia" w:hAnsiTheme="minorEastAsia" w:cs="宋体"/>
          <w:kern w:val="0"/>
          <w:sz w:val="30"/>
          <w:szCs w:val="30"/>
        </w:rPr>
        <w:t>%、</w:t>
      </w:r>
      <w:r w:rsidR="00150BEE">
        <w:rPr>
          <w:rFonts w:asciiTheme="minorEastAsia" w:hAnsiTheme="minorEastAsia" w:cs="宋体" w:hint="eastAsia"/>
          <w:kern w:val="0"/>
          <w:sz w:val="30"/>
          <w:szCs w:val="30"/>
        </w:rPr>
        <w:t>-45.55</w:t>
      </w:r>
      <w:r w:rsidR="00514DCB" w:rsidRPr="00514DCB">
        <w:rPr>
          <w:rFonts w:asciiTheme="minorEastAsia" w:hAnsiTheme="minorEastAsia" w:cs="宋体"/>
          <w:kern w:val="0"/>
          <w:sz w:val="30"/>
          <w:szCs w:val="30"/>
        </w:rPr>
        <w:t>%、</w:t>
      </w:r>
      <w:r w:rsidR="00150BEE">
        <w:rPr>
          <w:rFonts w:asciiTheme="minorEastAsia" w:hAnsiTheme="minorEastAsia" w:cs="宋体" w:hint="eastAsia"/>
          <w:kern w:val="0"/>
          <w:sz w:val="30"/>
          <w:szCs w:val="30"/>
        </w:rPr>
        <w:t>4.27</w:t>
      </w:r>
      <w:r w:rsidR="00514DCB" w:rsidRPr="00514DCB">
        <w:rPr>
          <w:rFonts w:asciiTheme="minorEastAsia" w:hAnsiTheme="minorEastAsia" w:cs="宋体"/>
          <w:kern w:val="0"/>
          <w:sz w:val="30"/>
          <w:szCs w:val="30"/>
        </w:rPr>
        <w:t>%、</w:t>
      </w:r>
      <w:r w:rsidR="00150BEE">
        <w:rPr>
          <w:rFonts w:asciiTheme="minorEastAsia" w:hAnsiTheme="minorEastAsia" w:cs="宋体" w:hint="eastAsia"/>
          <w:kern w:val="0"/>
          <w:sz w:val="30"/>
          <w:szCs w:val="30"/>
        </w:rPr>
        <w:t>-12.69</w:t>
      </w:r>
      <w:r w:rsidR="00514DCB" w:rsidRPr="00514DCB">
        <w:rPr>
          <w:rFonts w:asciiTheme="minorEastAsia" w:hAnsiTheme="minorEastAsia" w:cs="宋体"/>
          <w:kern w:val="0"/>
          <w:sz w:val="30"/>
          <w:szCs w:val="30"/>
        </w:rPr>
        <w:t>%和</w:t>
      </w:r>
      <w:r w:rsidR="00150BEE">
        <w:rPr>
          <w:rFonts w:asciiTheme="minorEastAsia" w:hAnsiTheme="minorEastAsia" w:cs="宋体" w:hint="eastAsia"/>
          <w:kern w:val="0"/>
          <w:sz w:val="30"/>
          <w:szCs w:val="30"/>
        </w:rPr>
        <w:t>-23.56</w:t>
      </w:r>
      <w:r w:rsidR="00514DCB" w:rsidRPr="00514DCB">
        <w:rPr>
          <w:rFonts w:asciiTheme="minorEastAsia" w:hAnsiTheme="minorEastAsia" w:cs="宋体"/>
          <w:kern w:val="0"/>
          <w:sz w:val="30"/>
          <w:szCs w:val="30"/>
        </w:rPr>
        <w:t>%；</w:t>
      </w:r>
      <w:r w:rsidRPr="00514DCB">
        <w:rPr>
          <w:rFonts w:asciiTheme="minorEastAsia" w:hAnsiTheme="minorEastAsia" w:cs="宋体"/>
          <w:kern w:val="0"/>
          <w:sz w:val="30"/>
          <w:szCs w:val="30"/>
        </w:rPr>
        <w:t>煤炭、</w:t>
      </w:r>
      <w:r w:rsidR="00272A19" w:rsidRPr="00514DCB">
        <w:rPr>
          <w:rFonts w:asciiTheme="minorEastAsia" w:hAnsiTheme="minorEastAsia" w:cs="宋体" w:hint="eastAsia"/>
          <w:kern w:val="0"/>
          <w:sz w:val="30"/>
          <w:szCs w:val="30"/>
        </w:rPr>
        <w:t>农副食品加工业、橡胶和塑料制品业和金属制品机械</w:t>
      </w:r>
      <w:r w:rsidR="002C4A04">
        <w:rPr>
          <w:rFonts w:asciiTheme="minorEastAsia" w:hAnsiTheme="minorEastAsia" w:cs="宋体" w:hint="eastAsia"/>
          <w:kern w:val="0"/>
          <w:sz w:val="30"/>
          <w:szCs w:val="30"/>
        </w:rPr>
        <w:t>和</w:t>
      </w:r>
      <w:r w:rsidR="00272A19" w:rsidRPr="00514DCB">
        <w:rPr>
          <w:rFonts w:asciiTheme="minorEastAsia" w:hAnsiTheme="minorEastAsia" w:cs="宋体" w:hint="eastAsia"/>
          <w:kern w:val="0"/>
          <w:sz w:val="30"/>
          <w:szCs w:val="30"/>
        </w:rPr>
        <w:t>设备修理业</w:t>
      </w:r>
      <w:r w:rsidRPr="00514DCB">
        <w:rPr>
          <w:rFonts w:asciiTheme="minorEastAsia" w:hAnsiTheme="minorEastAsia" w:cs="宋体"/>
          <w:kern w:val="0"/>
          <w:sz w:val="30"/>
          <w:szCs w:val="30"/>
        </w:rPr>
        <w:t>分别实现</w:t>
      </w:r>
      <w:r w:rsidRPr="00514DCB">
        <w:rPr>
          <w:rFonts w:asciiTheme="minorEastAsia" w:hAnsiTheme="minorEastAsia" w:cs="宋体"/>
          <w:kern w:val="0"/>
          <w:sz w:val="30"/>
          <w:szCs w:val="30"/>
        </w:rPr>
        <w:lastRenderedPageBreak/>
        <w:t>主营业务收入</w:t>
      </w:r>
      <w:r w:rsidR="00150BEE">
        <w:rPr>
          <w:rFonts w:asciiTheme="minorEastAsia" w:hAnsiTheme="minorEastAsia" w:cs="宋体" w:hint="eastAsia"/>
          <w:kern w:val="0"/>
          <w:sz w:val="30"/>
          <w:szCs w:val="30"/>
        </w:rPr>
        <w:t>1353535</w:t>
      </w:r>
      <w:r w:rsidR="00272A19" w:rsidRPr="00514DCB">
        <w:rPr>
          <w:rFonts w:asciiTheme="minorEastAsia" w:hAnsiTheme="minorEastAsia" w:cs="宋体" w:hint="eastAsia"/>
          <w:kern w:val="0"/>
          <w:sz w:val="30"/>
          <w:szCs w:val="30"/>
        </w:rPr>
        <w:t>万</w:t>
      </w:r>
      <w:r w:rsidRPr="00514DCB">
        <w:rPr>
          <w:rFonts w:asciiTheme="minorEastAsia" w:hAnsiTheme="minorEastAsia" w:cs="宋体"/>
          <w:kern w:val="0"/>
          <w:sz w:val="30"/>
          <w:szCs w:val="30"/>
        </w:rPr>
        <w:t>元、</w:t>
      </w:r>
      <w:r w:rsidR="00150BEE">
        <w:rPr>
          <w:rFonts w:asciiTheme="minorEastAsia" w:hAnsiTheme="minorEastAsia" w:cs="宋体" w:hint="eastAsia"/>
          <w:kern w:val="0"/>
          <w:sz w:val="30"/>
          <w:szCs w:val="30"/>
        </w:rPr>
        <w:t>7975</w:t>
      </w:r>
      <w:r w:rsidR="00272A19" w:rsidRPr="00514DCB">
        <w:rPr>
          <w:rFonts w:asciiTheme="minorEastAsia" w:hAnsiTheme="minorEastAsia" w:cs="宋体" w:hint="eastAsia"/>
          <w:kern w:val="0"/>
          <w:sz w:val="30"/>
          <w:szCs w:val="30"/>
        </w:rPr>
        <w:t>万</w:t>
      </w:r>
      <w:r w:rsidRPr="00514DCB">
        <w:rPr>
          <w:rFonts w:asciiTheme="minorEastAsia" w:hAnsiTheme="minorEastAsia" w:cs="宋体"/>
          <w:kern w:val="0"/>
          <w:sz w:val="30"/>
          <w:szCs w:val="30"/>
        </w:rPr>
        <w:t>元、</w:t>
      </w:r>
      <w:r w:rsidR="00150BEE">
        <w:rPr>
          <w:rFonts w:asciiTheme="minorEastAsia" w:hAnsiTheme="minorEastAsia" w:cs="宋体" w:hint="eastAsia"/>
          <w:kern w:val="0"/>
          <w:sz w:val="30"/>
          <w:szCs w:val="30"/>
        </w:rPr>
        <w:t>3575</w:t>
      </w:r>
      <w:r w:rsidR="00272A19" w:rsidRPr="00514DCB">
        <w:rPr>
          <w:rFonts w:asciiTheme="minorEastAsia" w:hAnsiTheme="minorEastAsia" w:cs="宋体" w:hint="eastAsia"/>
          <w:kern w:val="0"/>
          <w:sz w:val="30"/>
          <w:szCs w:val="30"/>
        </w:rPr>
        <w:t>万</w:t>
      </w:r>
      <w:r w:rsidRPr="00514DCB">
        <w:rPr>
          <w:rFonts w:asciiTheme="minorEastAsia" w:hAnsiTheme="minorEastAsia" w:cs="宋体"/>
          <w:kern w:val="0"/>
          <w:sz w:val="30"/>
          <w:szCs w:val="30"/>
        </w:rPr>
        <w:t>元</w:t>
      </w:r>
      <w:r w:rsidR="00272A19" w:rsidRPr="00514DCB">
        <w:rPr>
          <w:rFonts w:asciiTheme="minorEastAsia" w:hAnsiTheme="minorEastAsia" w:cs="宋体" w:hint="eastAsia"/>
          <w:kern w:val="0"/>
          <w:sz w:val="30"/>
          <w:szCs w:val="30"/>
        </w:rPr>
        <w:t>、</w:t>
      </w:r>
      <w:r w:rsidR="00150BEE">
        <w:rPr>
          <w:rFonts w:asciiTheme="minorEastAsia" w:hAnsiTheme="minorEastAsia" w:cs="宋体" w:hint="eastAsia"/>
          <w:kern w:val="0"/>
          <w:sz w:val="30"/>
          <w:szCs w:val="30"/>
        </w:rPr>
        <w:t>8969</w:t>
      </w:r>
      <w:r w:rsidR="00272A19" w:rsidRPr="00514DCB">
        <w:rPr>
          <w:rFonts w:asciiTheme="minorEastAsia" w:hAnsiTheme="minorEastAsia" w:cs="宋体" w:hint="eastAsia"/>
          <w:kern w:val="0"/>
          <w:sz w:val="30"/>
          <w:szCs w:val="30"/>
        </w:rPr>
        <w:t>万</w:t>
      </w:r>
      <w:r w:rsidRPr="00514DCB">
        <w:rPr>
          <w:rFonts w:asciiTheme="minorEastAsia" w:hAnsiTheme="minorEastAsia" w:cs="宋体"/>
          <w:kern w:val="0"/>
          <w:sz w:val="30"/>
          <w:szCs w:val="30"/>
        </w:rPr>
        <w:t>元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，</w:t>
      </w:r>
      <w:r w:rsidR="00150BEE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增幅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分别</w:t>
      </w:r>
      <w:r w:rsidR="00150BEE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为-11.</w:t>
      </w:r>
      <w:r w:rsidR="00150BEE">
        <w:rPr>
          <w:rFonts w:asciiTheme="minorEastAsia" w:hAnsiTheme="minorEastAsia" w:cs="宋体" w:hint="eastAsia"/>
          <w:kern w:val="0"/>
          <w:sz w:val="30"/>
          <w:szCs w:val="30"/>
        </w:rPr>
        <w:t>2</w:t>
      </w:r>
      <w:r w:rsidRPr="00514DCB">
        <w:rPr>
          <w:rFonts w:asciiTheme="minorEastAsia" w:hAnsiTheme="minorEastAsia" w:cs="宋体"/>
          <w:kern w:val="0"/>
          <w:sz w:val="30"/>
          <w:szCs w:val="30"/>
        </w:rPr>
        <w:t>%、</w:t>
      </w:r>
      <w:r w:rsidR="00150BEE">
        <w:rPr>
          <w:rFonts w:asciiTheme="minorEastAsia" w:hAnsiTheme="minorEastAsia" w:cs="宋体" w:hint="eastAsia"/>
          <w:kern w:val="0"/>
          <w:sz w:val="30"/>
          <w:szCs w:val="30"/>
        </w:rPr>
        <w:t>-3.2</w:t>
      </w:r>
      <w:r w:rsidRPr="00514DCB">
        <w:rPr>
          <w:rFonts w:asciiTheme="minorEastAsia" w:hAnsiTheme="minorEastAsia" w:cs="宋体"/>
          <w:kern w:val="0"/>
          <w:sz w:val="30"/>
          <w:szCs w:val="30"/>
        </w:rPr>
        <w:t>%、</w:t>
      </w:r>
      <w:r w:rsidR="00150BEE">
        <w:rPr>
          <w:rFonts w:asciiTheme="minorEastAsia" w:hAnsiTheme="minorEastAsia" w:cs="宋体" w:hint="eastAsia"/>
          <w:kern w:val="0"/>
          <w:sz w:val="30"/>
          <w:szCs w:val="30"/>
        </w:rPr>
        <w:t>36.1</w:t>
      </w:r>
      <w:r w:rsidRPr="00514DCB">
        <w:rPr>
          <w:rFonts w:asciiTheme="minorEastAsia" w:hAnsiTheme="minorEastAsia" w:cs="宋体"/>
          <w:kern w:val="0"/>
          <w:sz w:val="30"/>
          <w:szCs w:val="30"/>
        </w:rPr>
        <w:t>%</w:t>
      </w:r>
      <w:r w:rsidR="00AA0BA3" w:rsidRPr="00514DCB">
        <w:rPr>
          <w:rFonts w:asciiTheme="minorEastAsia" w:hAnsiTheme="minorEastAsia" w:cs="宋体" w:hint="eastAsia"/>
          <w:kern w:val="0"/>
          <w:sz w:val="30"/>
          <w:szCs w:val="30"/>
        </w:rPr>
        <w:t>和</w:t>
      </w:r>
      <w:r w:rsidR="00EF3BAB">
        <w:rPr>
          <w:rFonts w:asciiTheme="minorEastAsia" w:hAnsiTheme="minorEastAsia" w:cs="宋体" w:hint="eastAsia"/>
          <w:kern w:val="0"/>
          <w:sz w:val="30"/>
          <w:szCs w:val="30"/>
        </w:rPr>
        <w:t>5.1</w:t>
      </w:r>
      <w:r w:rsidR="00AA0BA3" w:rsidRPr="00514DCB">
        <w:rPr>
          <w:rFonts w:asciiTheme="minorEastAsia" w:hAnsiTheme="minorEastAsia" w:cs="宋体" w:hint="eastAsia"/>
          <w:kern w:val="0"/>
          <w:sz w:val="30"/>
          <w:szCs w:val="30"/>
        </w:rPr>
        <w:t>%</w:t>
      </w:r>
      <w:r w:rsidRPr="00514DCB">
        <w:rPr>
          <w:rFonts w:asciiTheme="minorEastAsia" w:hAnsiTheme="minorEastAsia" w:cs="宋体"/>
          <w:kern w:val="0"/>
          <w:sz w:val="30"/>
          <w:szCs w:val="30"/>
        </w:rPr>
        <w:t>。</w:t>
      </w:r>
    </w:p>
    <w:p w:rsidR="00590DD1" w:rsidRPr="00304F2C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kern w:val="0"/>
          <w:sz w:val="30"/>
          <w:szCs w:val="30"/>
        </w:rPr>
      </w:pPr>
      <w:r w:rsidRPr="00304F2C">
        <w:rPr>
          <w:rFonts w:asciiTheme="minorEastAsia" w:hAnsiTheme="minorEastAsia" w:cs="宋体"/>
          <w:kern w:val="0"/>
          <w:sz w:val="30"/>
          <w:szCs w:val="30"/>
        </w:rPr>
        <w:t>规模以上工业实现</w:t>
      </w:r>
      <w:r w:rsidR="006A0891" w:rsidRPr="00304F2C">
        <w:rPr>
          <w:rFonts w:asciiTheme="minorEastAsia" w:hAnsiTheme="minorEastAsia" w:cs="宋体" w:hint="eastAsia"/>
          <w:kern w:val="0"/>
          <w:sz w:val="30"/>
          <w:szCs w:val="30"/>
        </w:rPr>
        <w:t>税金</w:t>
      </w:r>
      <w:r w:rsidR="00EF3BAB">
        <w:rPr>
          <w:rFonts w:asciiTheme="minorEastAsia" w:hAnsiTheme="minorEastAsia" w:cs="宋体" w:hint="eastAsia"/>
          <w:kern w:val="0"/>
          <w:sz w:val="30"/>
          <w:szCs w:val="30"/>
        </w:rPr>
        <w:t>50280</w:t>
      </w:r>
      <w:r w:rsidR="006A0891" w:rsidRPr="00304F2C">
        <w:rPr>
          <w:rFonts w:asciiTheme="minorEastAsia" w:hAnsiTheme="minorEastAsia" w:cs="宋体" w:hint="eastAsia"/>
          <w:kern w:val="0"/>
          <w:sz w:val="30"/>
          <w:szCs w:val="30"/>
        </w:rPr>
        <w:t>万</w:t>
      </w:r>
      <w:r w:rsidRPr="00304F2C">
        <w:rPr>
          <w:rFonts w:asciiTheme="minorEastAsia" w:hAnsiTheme="minorEastAsia" w:cs="宋体"/>
          <w:kern w:val="0"/>
          <w:sz w:val="30"/>
          <w:szCs w:val="30"/>
        </w:rPr>
        <w:t>元，下降</w:t>
      </w:r>
      <w:r w:rsidR="00EF3BAB">
        <w:rPr>
          <w:rFonts w:asciiTheme="minorEastAsia" w:hAnsiTheme="minorEastAsia" w:cs="宋体" w:hint="eastAsia"/>
          <w:kern w:val="0"/>
          <w:sz w:val="30"/>
          <w:szCs w:val="30"/>
        </w:rPr>
        <w:t>52.</w:t>
      </w:r>
      <w:r w:rsidR="002C4A04">
        <w:rPr>
          <w:rFonts w:asciiTheme="minorEastAsia" w:hAnsiTheme="minorEastAsia" w:cs="宋体" w:hint="eastAsia"/>
          <w:kern w:val="0"/>
          <w:sz w:val="30"/>
          <w:szCs w:val="30"/>
        </w:rPr>
        <w:t>1</w:t>
      </w:r>
      <w:r w:rsidRPr="00304F2C">
        <w:rPr>
          <w:rFonts w:asciiTheme="minorEastAsia" w:hAnsiTheme="minorEastAsia" w:cs="宋体"/>
          <w:kern w:val="0"/>
          <w:sz w:val="30"/>
          <w:szCs w:val="30"/>
        </w:rPr>
        <w:t>%；实现利润为</w:t>
      </w:r>
      <w:r w:rsidR="00EF3BAB">
        <w:rPr>
          <w:rFonts w:asciiTheme="minorEastAsia" w:hAnsiTheme="minorEastAsia" w:cs="宋体" w:hint="eastAsia"/>
          <w:kern w:val="0"/>
          <w:sz w:val="30"/>
          <w:szCs w:val="30"/>
        </w:rPr>
        <w:t>-96021</w:t>
      </w:r>
      <w:r w:rsidR="006A0891" w:rsidRPr="00304F2C">
        <w:rPr>
          <w:rFonts w:asciiTheme="minorEastAsia" w:hAnsiTheme="minorEastAsia" w:cs="宋体" w:hint="eastAsia"/>
          <w:kern w:val="0"/>
          <w:sz w:val="30"/>
          <w:szCs w:val="30"/>
        </w:rPr>
        <w:t>万</w:t>
      </w:r>
      <w:r w:rsidRPr="00304F2C">
        <w:rPr>
          <w:rFonts w:asciiTheme="minorEastAsia" w:hAnsiTheme="minorEastAsia" w:cs="宋体"/>
          <w:kern w:val="0"/>
          <w:sz w:val="30"/>
          <w:szCs w:val="30"/>
        </w:rPr>
        <w:t>元</w:t>
      </w:r>
      <w:r w:rsidR="00EF3BAB">
        <w:rPr>
          <w:rFonts w:asciiTheme="minorEastAsia" w:hAnsiTheme="minorEastAsia" w:cs="宋体" w:hint="eastAsia"/>
          <w:kern w:val="0"/>
          <w:sz w:val="30"/>
          <w:szCs w:val="30"/>
        </w:rPr>
        <w:t>，增加</w:t>
      </w:r>
      <w:r w:rsidR="002C4A04">
        <w:rPr>
          <w:rFonts w:asciiTheme="minorEastAsia" w:hAnsiTheme="minorEastAsia" w:cs="宋体" w:hint="eastAsia"/>
          <w:kern w:val="0"/>
          <w:sz w:val="30"/>
          <w:szCs w:val="30"/>
        </w:rPr>
        <w:t>83.7%</w:t>
      </w:r>
      <w:r w:rsidRPr="00304F2C">
        <w:rPr>
          <w:rFonts w:asciiTheme="minorEastAsia" w:hAnsiTheme="minorEastAsia" w:cs="宋体"/>
          <w:kern w:val="0"/>
          <w:sz w:val="30"/>
          <w:szCs w:val="30"/>
        </w:rPr>
        <w:t>。</w:t>
      </w:r>
    </w:p>
    <w:p w:rsidR="00590DD1" w:rsidRPr="00253D85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253D85">
        <w:rPr>
          <w:rFonts w:ascii="黑体" w:eastAsia="黑体" w:hAnsi="黑体" w:cs="宋体"/>
          <w:kern w:val="0"/>
          <w:sz w:val="30"/>
          <w:szCs w:val="30"/>
        </w:rPr>
        <w:t>表5 201</w:t>
      </w:r>
      <w:r w:rsidR="005A5C50">
        <w:rPr>
          <w:rFonts w:ascii="黑体" w:eastAsia="黑体" w:hAnsi="黑体" w:cs="宋体" w:hint="eastAsia"/>
          <w:kern w:val="0"/>
          <w:sz w:val="30"/>
          <w:szCs w:val="30"/>
        </w:rPr>
        <w:t>6</w:t>
      </w:r>
      <w:r w:rsidRPr="00253D85">
        <w:rPr>
          <w:rFonts w:ascii="黑体" w:eastAsia="黑体" w:hAnsi="黑体" w:cs="宋体"/>
          <w:kern w:val="0"/>
          <w:sz w:val="30"/>
          <w:szCs w:val="30"/>
        </w:rPr>
        <w:t>年规模以上工业企业利润总额</w:t>
      </w:r>
    </w:p>
    <w:p w:rsidR="00590DD1" w:rsidRPr="00253D85" w:rsidRDefault="00304F2C" w:rsidP="00213C3F">
      <w:pPr>
        <w:widowControl/>
        <w:spacing w:before="100" w:beforeAutospacing="1" w:after="100" w:afterAutospacing="1" w:line="420" w:lineRule="atLeast"/>
        <w:ind w:right="300" w:firstLineChars="200" w:firstLine="420"/>
        <w:jc w:val="right"/>
        <w:rPr>
          <w:rFonts w:asciiTheme="minorEastAsia" w:hAnsiTheme="minorEastAsia" w:cs="宋体"/>
          <w:kern w:val="0"/>
          <w:szCs w:val="21"/>
        </w:rPr>
      </w:pPr>
      <w:r w:rsidRPr="00253D85">
        <w:rPr>
          <w:rFonts w:asciiTheme="minorEastAsia" w:hAnsiTheme="minorEastAsia" w:cs="宋体"/>
          <w:kern w:val="0"/>
          <w:szCs w:val="21"/>
        </w:rPr>
        <w:t>单位：亿元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360"/>
        <w:gridCol w:w="1598"/>
        <w:gridCol w:w="1588"/>
      </w:tblGrid>
      <w:tr w:rsidR="00C81314" w:rsidRPr="00C84495" w:rsidTr="00C81314">
        <w:trPr>
          <w:trHeight w:val="794"/>
          <w:tblCellSpacing w:w="0" w:type="dxa"/>
          <w:jc w:val="center"/>
        </w:trPr>
        <w:tc>
          <w:tcPr>
            <w:tcW w:w="3136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90DD1" w:rsidRPr="00C84495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指 标</w:t>
            </w:r>
          </w:p>
        </w:tc>
        <w:tc>
          <w:tcPr>
            <w:tcW w:w="93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90DD1" w:rsidRPr="00C84495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201</w:t>
            </w:r>
            <w:r w:rsidR="005A5C50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6</w:t>
            </w: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年</w:t>
            </w:r>
          </w:p>
        </w:tc>
        <w:tc>
          <w:tcPr>
            <w:tcW w:w="93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  <w:hideMark/>
          </w:tcPr>
          <w:p w:rsidR="00590DD1" w:rsidRPr="00C84495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201</w:t>
            </w:r>
            <w:r w:rsidR="005A5C50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5</w:t>
            </w: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年</w:t>
            </w:r>
          </w:p>
        </w:tc>
      </w:tr>
      <w:tr w:rsidR="00C81314" w:rsidRPr="00C84495" w:rsidTr="00C81314">
        <w:trPr>
          <w:trHeight w:val="794"/>
          <w:tblCellSpacing w:w="0" w:type="dxa"/>
          <w:jc w:val="center"/>
        </w:trPr>
        <w:tc>
          <w:tcPr>
            <w:tcW w:w="3136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90DD1" w:rsidRPr="00C84495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规模以上工业</w:t>
            </w:r>
          </w:p>
        </w:tc>
        <w:tc>
          <w:tcPr>
            <w:tcW w:w="93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90DD1" w:rsidRPr="00C84495" w:rsidRDefault="005A5C50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-9.60</w:t>
            </w:r>
          </w:p>
        </w:tc>
        <w:tc>
          <w:tcPr>
            <w:tcW w:w="93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  <w:hideMark/>
          </w:tcPr>
          <w:p w:rsidR="00590DD1" w:rsidRPr="00C84495" w:rsidRDefault="005A5C50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-5.23</w:t>
            </w:r>
          </w:p>
        </w:tc>
      </w:tr>
      <w:tr w:rsidR="00C81314" w:rsidRPr="00C84495" w:rsidTr="00C81314">
        <w:trPr>
          <w:trHeight w:val="794"/>
          <w:tblCellSpacing w:w="0" w:type="dxa"/>
          <w:jc w:val="center"/>
        </w:trPr>
        <w:tc>
          <w:tcPr>
            <w:tcW w:w="3136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90DD1" w:rsidRPr="00C84495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其中：国有控股企业</w:t>
            </w:r>
          </w:p>
        </w:tc>
        <w:tc>
          <w:tcPr>
            <w:tcW w:w="93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90DD1" w:rsidRPr="00C84495" w:rsidRDefault="005A5C50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-14.01</w:t>
            </w:r>
          </w:p>
        </w:tc>
        <w:tc>
          <w:tcPr>
            <w:tcW w:w="93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  <w:hideMark/>
          </w:tcPr>
          <w:p w:rsidR="00590DD1" w:rsidRPr="00C84495" w:rsidRDefault="005A5C50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-10.88</w:t>
            </w:r>
          </w:p>
        </w:tc>
      </w:tr>
      <w:tr w:rsidR="00C81314" w:rsidRPr="00C84495" w:rsidTr="00C81314">
        <w:trPr>
          <w:trHeight w:val="794"/>
          <w:tblCellSpacing w:w="0" w:type="dxa"/>
          <w:jc w:val="center"/>
        </w:trPr>
        <w:tc>
          <w:tcPr>
            <w:tcW w:w="3136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90DD1" w:rsidRPr="00C84495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其中：集体企业</w:t>
            </w:r>
          </w:p>
        </w:tc>
        <w:tc>
          <w:tcPr>
            <w:tcW w:w="93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90DD1" w:rsidRPr="00C84495" w:rsidRDefault="005A5C50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0.59</w:t>
            </w:r>
          </w:p>
        </w:tc>
        <w:tc>
          <w:tcPr>
            <w:tcW w:w="93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  <w:hideMark/>
          </w:tcPr>
          <w:p w:rsidR="00590DD1" w:rsidRPr="00C84495" w:rsidRDefault="005A5C50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0.68</w:t>
            </w:r>
          </w:p>
        </w:tc>
      </w:tr>
      <w:tr w:rsidR="00C81314" w:rsidRPr="00C84495" w:rsidTr="00C81314">
        <w:trPr>
          <w:trHeight w:val="794"/>
          <w:tblCellSpacing w:w="0" w:type="dxa"/>
          <w:jc w:val="center"/>
        </w:trPr>
        <w:tc>
          <w:tcPr>
            <w:tcW w:w="3136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90DD1" w:rsidRPr="00C84495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84495">
              <w:rPr>
                <w:rFonts w:asciiTheme="minorEastAsia" w:hAnsiTheme="minorEastAsia" w:cs="宋体"/>
                <w:kern w:val="0"/>
                <w:sz w:val="30"/>
                <w:szCs w:val="30"/>
              </w:rPr>
              <w:t>股份制企业</w:t>
            </w:r>
          </w:p>
        </w:tc>
        <w:tc>
          <w:tcPr>
            <w:tcW w:w="93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90DD1" w:rsidRPr="00C84495" w:rsidRDefault="005A5C50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-11.61</w:t>
            </w:r>
          </w:p>
        </w:tc>
        <w:tc>
          <w:tcPr>
            <w:tcW w:w="93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  <w:hideMark/>
          </w:tcPr>
          <w:p w:rsidR="00590DD1" w:rsidRPr="00C84495" w:rsidRDefault="005A5C50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-7.51</w:t>
            </w:r>
          </w:p>
        </w:tc>
      </w:tr>
      <w:tr w:rsidR="00C81314" w:rsidRPr="00C84495" w:rsidTr="009525DB">
        <w:trPr>
          <w:trHeight w:val="671"/>
          <w:tblCellSpacing w:w="0" w:type="dxa"/>
          <w:jc w:val="center"/>
        </w:trPr>
        <w:tc>
          <w:tcPr>
            <w:tcW w:w="3136" w:type="pct"/>
            <w:tcBorders>
              <w:top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  <w:hideMark/>
          </w:tcPr>
          <w:p w:rsidR="00590DD1" w:rsidRPr="00C84495" w:rsidRDefault="005A5C50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其他</w:t>
            </w:r>
          </w:p>
        </w:tc>
        <w:tc>
          <w:tcPr>
            <w:tcW w:w="93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  <w:hideMark/>
          </w:tcPr>
          <w:p w:rsidR="00590DD1" w:rsidRPr="00C84495" w:rsidRDefault="00150BEE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1.42</w:t>
            </w:r>
          </w:p>
        </w:tc>
        <w:tc>
          <w:tcPr>
            <w:tcW w:w="93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vAlign w:val="center"/>
            <w:hideMark/>
          </w:tcPr>
          <w:p w:rsidR="00590DD1" w:rsidRPr="00C84495" w:rsidRDefault="00150BEE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1.61</w:t>
            </w:r>
          </w:p>
        </w:tc>
      </w:tr>
    </w:tbl>
    <w:p w:rsidR="00493E2A" w:rsidRPr="00213C3F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全年全</w:t>
      </w:r>
      <w:r w:rsidR="00724A50"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建筑业实现</w:t>
      </w:r>
      <w:r w:rsidR="00014330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总产值</w:t>
      </w:r>
      <w:r w:rsidR="00F4647A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17918</w:t>
      </w:r>
      <w:r w:rsidR="005A04FA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元，比上年下降</w:t>
      </w:r>
      <w:r w:rsidR="00F4647A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36.2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</w:t>
      </w:r>
    </w:p>
    <w:p w:rsidR="00590DD1" w:rsidRPr="00213C3F" w:rsidRDefault="00590DD1" w:rsidP="00213C3F">
      <w:pPr>
        <w:widowControl/>
        <w:spacing w:before="100" w:beforeAutospacing="1" w:after="100" w:afterAutospacing="1" w:line="420" w:lineRule="atLeast"/>
        <w:ind w:firstLineChars="200" w:firstLine="720"/>
        <w:jc w:val="center"/>
        <w:rPr>
          <w:rFonts w:ascii="黑体" w:eastAsia="黑体" w:hAnsi="黑体" w:cs="宋体"/>
          <w:color w:val="000000" w:themeColor="text1"/>
          <w:kern w:val="0"/>
          <w:sz w:val="36"/>
          <w:szCs w:val="36"/>
        </w:rPr>
      </w:pPr>
      <w:r w:rsidRPr="00213C3F">
        <w:rPr>
          <w:rFonts w:ascii="黑体" w:eastAsia="黑体" w:hAnsi="黑体" w:cs="宋体"/>
          <w:color w:val="000000" w:themeColor="text1"/>
          <w:kern w:val="0"/>
          <w:sz w:val="36"/>
          <w:szCs w:val="36"/>
        </w:rPr>
        <w:t>四、固定资产投资</w:t>
      </w:r>
    </w:p>
    <w:p w:rsidR="00590DD1" w:rsidRPr="00213C3F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全年全</w:t>
      </w:r>
      <w:r w:rsidR="00724A50"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固定资产投资完成</w:t>
      </w:r>
      <w:r w:rsidR="00532366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1680217</w:t>
      </w:r>
      <w:r w:rsidR="00D45C9B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元，增长</w:t>
      </w:r>
      <w:r w:rsidR="00532366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2.6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%。其中，国有及国有控股投资完成</w:t>
      </w:r>
      <w:r w:rsidR="00532366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388770</w:t>
      </w:r>
      <w:r w:rsidR="00D45C9B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元，下降</w:t>
      </w:r>
      <w:r w:rsidR="00532366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0.3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</w:t>
      </w:r>
      <w:r w:rsidR="00532366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。在全县固定资产投资中，</w:t>
      </w:r>
      <w:r w:rsidR="00F4647A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全部为</w:t>
      </w:r>
      <w:r w:rsidR="00D45C9B"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内资企业投资</w:t>
      </w:r>
      <w:r w:rsidR="00532366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。</w:t>
      </w:r>
    </w:p>
    <w:p w:rsidR="00590DD1" w:rsidRPr="00253D85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253D85">
        <w:rPr>
          <w:rFonts w:ascii="黑体" w:eastAsia="黑体" w:hAnsi="黑体" w:cs="宋体"/>
          <w:kern w:val="0"/>
          <w:sz w:val="30"/>
          <w:szCs w:val="30"/>
        </w:rPr>
        <w:lastRenderedPageBreak/>
        <w:t>图4 201</w:t>
      </w:r>
      <w:r w:rsidR="00F4647A">
        <w:rPr>
          <w:rFonts w:ascii="黑体" w:eastAsia="黑体" w:hAnsi="黑体" w:cs="宋体" w:hint="eastAsia"/>
          <w:kern w:val="0"/>
          <w:sz w:val="30"/>
          <w:szCs w:val="30"/>
        </w:rPr>
        <w:t>2</w:t>
      </w:r>
      <w:r w:rsidRPr="00253D85">
        <w:rPr>
          <w:rFonts w:ascii="黑体" w:eastAsia="黑体" w:hAnsi="黑体" w:cs="宋体"/>
          <w:kern w:val="0"/>
          <w:sz w:val="30"/>
          <w:szCs w:val="30"/>
        </w:rPr>
        <w:t>-201</w:t>
      </w:r>
      <w:r w:rsidR="00F4647A">
        <w:rPr>
          <w:rFonts w:ascii="黑体" w:eastAsia="黑体" w:hAnsi="黑体" w:cs="宋体" w:hint="eastAsia"/>
          <w:kern w:val="0"/>
          <w:sz w:val="30"/>
          <w:szCs w:val="30"/>
        </w:rPr>
        <w:t>6</w:t>
      </w:r>
      <w:r w:rsidRPr="00253D85">
        <w:rPr>
          <w:rFonts w:ascii="黑体" w:eastAsia="黑体" w:hAnsi="黑体" w:cs="宋体"/>
          <w:kern w:val="0"/>
          <w:sz w:val="30"/>
          <w:szCs w:val="30"/>
        </w:rPr>
        <w:t>年固定资产投资及其增长速度</w:t>
      </w:r>
    </w:p>
    <w:p w:rsidR="00590DD1" w:rsidRPr="00724A50" w:rsidRDefault="00D45C9B" w:rsidP="00213C3F">
      <w:pPr>
        <w:widowControl/>
        <w:spacing w:before="100" w:beforeAutospacing="1" w:after="100" w:afterAutospacing="1" w:line="420" w:lineRule="atLeast"/>
        <w:ind w:firstLineChars="200" w:firstLine="600"/>
        <w:jc w:val="center"/>
        <w:rPr>
          <w:rFonts w:asciiTheme="minorEastAsia" w:hAnsiTheme="minorEastAsia" w:cs="宋体"/>
          <w:color w:val="FF0000"/>
          <w:kern w:val="0"/>
          <w:sz w:val="30"/>
          <w:szCs w:val="30"/>
        </w:rPr>
      </w:pPr>
      <w:r w:rsidRPr="00D45C9B">
        <w:rPr>
          <w:rFonts w:asciiTheme="minorEastAsia" w:hAnsiTheme="minorEastAsia" w:cs="宋体" w:hint="eastAsia"/>
          <w:noProof/>
          <w:color w:val="FF0000"/>
          <w:kern w:val="0"/>
          <w:sz w:val="30"/>
          <w:szCs w:val="30"/>
        </w:rPr>
        <w:drawing>
          <wp:inline distT="0" distB="0" distL="0" distR="0">
            <wp:extent cx="5143500" cy="3590925"/>
            <wp:effectExtent l="0" t="0" r="0" b="0"/>
            <wp:docPr id="3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B483A" w:rsidRPr="00213C3F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从三次产业看，第一产业投资完成</w:t>
      </w:r>
      <w:r w:rsidR="00532366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157833</w:t>
      </w:r>
      <w:r w:rsidR="00747289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</w:t>
      </w:r>
      <w:r w:rsidR="00532366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下降30.7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%；第二产业投资完成</w:t>
      </w:r>
      <w:r w:rsidR="00532366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678768</w:t>
      </w:r>
      <w:r w:rsidR="00747289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</w:t>
      </w:r>
      <w:r w:rsidR="00532366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增长18.5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%；第三产业投资完成</w:t>
      </w:r>
      <w:r w:rsidR="00532366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843616</w:t>
      </w:r>
      <w:r w:rsidR="00747289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元，增长</w:t>
      </w:r>
      <w:r w:rsidR="00532366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0.7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</w:t>
      </w:r>
      <w:r w:rsidR="00747289"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。第二产业</w:t>
      </w:r>
      <w:r w:rsidR="00747289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全部为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工业投资</w:t>
      </w:r>
      <w:r w:rsidR="00747289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，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其中，煤炭工业投资</w:t>
      </w:r>
      <w:r w:rsidR="00A46CE1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68424</w:t>
      </w:r>
      <w:r w:rsidR="00747289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万元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，</w:t>
      </w:r>
      <w:r w:rsidR="00A46CE1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下降52.8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%，非煤产业投资</w:t>
      </w:r>
      <w:r w:rsidR="00A46CE1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610344</w:t>
      </w:r>
      <w:r w:rsidR="00747289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</w:t>
      </w:r>
      <w:r w:rsidR="00A46CE1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增长42.8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%。传统产业（煤炭、焦炭、冶金、电力）投资合计</w:t>
      </w:r>
      <w:r w:rsidR="00EA738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129400</w:t>
      </w:r>
      <w:r w:rsidR="00D64F95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</w:t>
      </w:r>
      <w:r w:rsidR="00EA738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下降50.5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%，非传统产业（食品、建材、化工、装备制造等）投资合计</w:t>
      </w:r>
      <w:r w:rsidR="00EA738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549368</w:t>
      </w:r>
      <w:r w:rsidR="00D64F95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元，增长</w:t>
      </w:r>
      <w:r w:rsidR="00EA738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76.6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</w:t>
      </w:r>
    </w:p>
    <w:p w:rsidR="009B483A" w:rsidRPr="00213C3F" w:rsidRDefault="009B483A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全年全县在建固定资产投资项目</w:t>
      </w:r>
      <w:r w:rsidR="00F4647A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417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个。其中，亿元以上项目</w:t>
      </w:r>
      <w:r w:rsidR="00F4647A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23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个，计划总投资</w:t>
      </w:r>
      <w:r w:rsidR="00F4647A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2104859</w:t>
      </w:r>
      <w:r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元，完成投资</w:t>
      </w:r>
      <w:r w:rsidR="00F4647A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373464</w:t>
      </w:r>
      <w:r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元，占全县固定资产投资的比重为</w:t>
      </w:r>
      <w:r w:rsidR="00F4647A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22.2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</w:t>
      </w:r>
    </w:p>
    <w:p w:rsidR="00590DD1" w:rsidRPr="00213C3F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center"/>
        <w:rPr>
          <w:rFonts w:ascii="黑体" w:eastAsia="黑体" w:hAnsi="黑体" w:cs="宋体"/>
          <w:color w:val="000000" w:themeColor="text1"/>
          <w:kern w:val="0"/>
          <w:sz w:val="30"/>
          <w:szCs w:val="30"/>
        </w:rPr>
      </w:pPr>
      <w:r w:rsidRPr="00213C3F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lastRenderedPageBreak/>
        <w:t>表6 201</w:t>
      </w:r>
      <w:r w:rsidR="009A75B4" w:rsidRPr="00213C3F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>6</w:t>
      </w:r>
      <w:r w:rsidRPr="00213C3F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年分行业固定资产投资及其增长速度</w:t>
      </w:r>
    </w:p>
    <w:p w:rsidR="00590DD1" w:rsidRPr="00253D85" w:rsidRDefault="00590DD1" w:rsidP="00213C3F">
      <w:pPr>
        <w:widowControl/>
        <w:spacing w:before="100" w:beforeAutospacing="1" w:after="100" w:afterAutospacing="1" w:line="420" w:lineRule="atLeast"/>
        <w:ind w:firstLineChars="200" w:firstLine="420"/>
        <w:jc w:val="right"/>
        <w:rPr>
          <w:rFonts w:asciiTheme="minorEastAsia" w:hAnsiTheme="minorEastAsia" w:cs="宋体"/>
          <w:kern w:val="0"/>
          <w:szCs w:val="21"/>
        </w:rPr>
      </w:pPr>
      <w:r w:rsidRPr="00253D85">
        <w:rPr>
          <w:rFonts w:asciiTheme="minorEastAsia" w:hAnsiTheme="minorEastAsia" w:cs="宋体"/>
          <w:kern w:val="0"/>
          <w:szCs w:val="21"/>
        </w:rPr>
        <w:t>单位：</w:t>
      </w:r>
      <w:r w:rsidR="00CA1FFC" w:rsidRPr="00253D85">
        <w:rPr>
          <w:rFonts w:asciiTheme="minorEastAsia" w:hAnsiTheme="minorEastAsia" w:cs="宋体" w:hint="eastAsia"/>
          <w:kern w:val="0"/>
          <w:szCs w:val="21"/>
        </w:rPr>
        <w:t>万</w:t>
      </w:r>
      <w:r w:rsidRPr="00253D85">
        <w:rPr>
          <w:rFonts w:asciiTheme="minorEastAsia" w:hAnsiTheme="minorEastAsia" w:cs="宋体"/>
          <w:kern w:val="0"/>
          <w:szCs w:val="21"/>
        </w:rPr>
        <w:t>元、%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515"/>
        <w:gridCol w:w="1740"/>
        <w:gridCol w:w="1980"/>
      </w:tblGrid>
      <w:tr w:rsidR="00590DD1" w:rsidRPr="003F4F87" w:rsidTr="00C81314">
        <w:trPr>
          <w:trHeight w:hRule="exact" w:val="510"/>
          <w:tblCellSpacing w:w="0" w:type="dxa"/>
          <w:jc w:val="center"/>
        </w:trPr>
        <w:tc>
          <w:tcPr>
            <w:tcW w:w="45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D1" w:rsidRPr="00CA08F2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行 业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D1" w:rsidRPr="00CA08F2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投资额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590DD1" w:rsidRPr="00CA08F2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比上年增长</w:t>
            </w:r>
          </w:p>
        </w:tc>
      </w:tr>
      <w:tr w:rsidR="00590DD1" w:rsidRPr="003F4F87" w:rsidTr="00C81314">
        <w:trPr>
          <w:trHeight w:hRule="exact" w:val="510"/>
          <w:tblCellSpacing w:w="0" w:type="dxa"/>
          <w:jc w:val="center"/>
        </w:trPr>
        <w:tc>
          <w:tcPr>
            <w:tcW w:w="45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90DD1" w:rsidRPr="00CA08F2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总 计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D1" w:rsidRPr="00CA08F2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1680217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590DD1" w:rsidRPr="00CA08F2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2.6</w:t>
            </w:r>
          </w:p>
        </w:tc>
      </w:tr>
      <w:tr w:rsidR="00590DD1" w:rsidRPr="003F4F87" w:rsidTr="00C81314">
        <w:trPr>
          <w:trHeight w:hRule="exact" w:val="510"/>
          <w:tblCellSpacing w:w="0" w:type="dxa"/>
          <w:jc w:val="center"/>
        </w:trPr>
        <w:tc>
          <w:tcPr>
            <w:tcW w:w="45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90DD1" w:rsidRPr="00CA08F2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农林牧渔业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D1" w:rsidRPr="00CA08F2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162613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590DD1" w:rsidRPr="00CA08F2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-29.0</w:t>
            </w:r>
          </w:p>
        </w:tc>
      </w:tr>
      <w:tr w:rsidR="00590DD1" w:rsidRPr="003F4F87" w:rsidTr="00C81314">
        <w:trPr>
          <w:trHeight w:hRule="exact" w:val="510"/>
          <w:tblCellSpacing w:w="0" w:type="dxa"/>
          <w:jc w:val="center"/>
        </w:trPr>
        <w:tc>
          <w:tcPr>
            <w:tcW w:w="45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90DD1" w:rsidRPr="00CA08F2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采矿业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D1" w:rsidRPr="00CA08F2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97734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590DD1" w:rsidRPr="00CA08F2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-42.8</w:t>
            </w:r>
          </w:p>
        </w:tc>
      </w:tr>
      <w:tr w:rsidR="00590DD1" w:rsidRPr="003F4F87" w:rsidTr="00C81314">
        <w:trPr>
          <w:trHeight w:hRule="exact" w:val="510"/>
          <w:tblCellSpacing w:w="0" w:type="dxa"/>
          <w:jc w:val="center"/>
        </w:trPr>
        <w:tc>
          <w:tcPr>
            <w:tcW w:w="45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90DD1" w:rsidRPr="00CA08F2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制造业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D1" w:rsidRPr="00CA08F2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532548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590DD1" w:rsidRPr="00CA08F2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79.3</w:t>
            </w:r>
          </w:p>
        </w:tc>
      </w:tr>
      <w:tr w:rsidR="00590DD1" w:rsidRPr="003F4F87" w:rsidTr="00C81314">
        <w:trPr>
          <w:trHeight w:hRule="exact" w:val="510"/>
          <w:tblCellSpacing w:w="0" w:type="dxa"/>
          <w:jc w:val="center"/>
        </w:trPr>
        <w:tc>
          <w:tcPr>
            <w:tcW w:w="45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90DD1" w:rsidRPr="00CA08F2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电力、燃气及水的生产和供应业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D1" w:rsidRPr="00CA08F2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49046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590DD1" w:rsidRPr="00CA08F2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-53.1</w:t>
            </w:r>
          </w:p>
        </w:tc>
      </w:tr>
      <w:tr w:rsidR="00590DD1" w:rsidRPr="003F4F87" w:rsidTr="00C81314">
        <w:trPr>
          <w:trHeight w:hRule="exact" w:val="510"/>
          <w:tblCellSpacing w:w="0" w:type="dxa"/>
          <w:jc w:val="center"/>
        </w:trPr>
        <w:tc>
          <w:tcPr>
            <w:tcW w:w="45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90DD1" w:rsidRPr="00CA08F2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交通运输、仓储和邮政业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D1" w:rsidRPr="00CA08F2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110910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590DD1" w:rsidRPr="00CA08F2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19.4</w:t>
            </w:r>
          </w:p>
        </w:tc>
      </w:tr>
      <w:tr w:rsidR="00590DD1" w:rsidRPr="003F4F87" w:rsidTr="00C81314">
        <w:trPr>
          <w:trHeight w:hRule="exact" w:val="510"/>
          <w:tblCellSpacing w:w="0" w:type="dxa"/>
          <w:jc w:val="center"/>
        </w:trPr>
        <w:tc>
          <w:tcPr>
            <w:tcW w:w="45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90DD1" w:rsidRPr="00CA08F2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信息传输、计算机服务和软件业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D1" w:rsidRPr="00CA08F2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27120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590DD1" w:rsidRPr="00CA08F2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102.9</w:t>
            </w:r>
          </w:p>
        </w:tc>
      </w:tr>
      <w:tr w:rsidR="00590DD1" w:rsidRPr="003F4F87" w:rsidTr="00C81314">
        <w:trPr>
          <w:trHeight w:hRule="exact" w:val="510"/>
          <w:tblCellSpacing w:w="0" w:type="dxa"/>
          <w:jc w:val="center"/>
        </w:trPr>
        <w:tc>
          <w:tcPr>
            <w:tcW w:w="45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90DD1" w:rsidRPr="00CA08F2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批发和零售业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D1" w:rsidRPr="00CA08F2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42161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590DD1" w:rsidRPr="00CA08F2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-45.8</w:t>
            </w:r>
          </w:p>
        </w:tc>
      </w:tr>
      <w:tr w:rsidR="00590DD1" w:rsidRPr="003F4F87" w:rsidTr="00C81314">
        <w:trPr>
          <w:trHeight w:hRule="exact" w:val="510"/>
          <w:tblCellSpacing w:w="0" w:type="dxa"/>
          <w:jc w:val="center"/>
        </w:trPr>
        <w:tc>
          <w:tcPr>
            <w:tcW w:w="45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90DD1" w:rsidRPr="00CA08F2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住宿和餐饮业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D1" w:rsidRPr="00CA08F2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9517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590DD1" w:rsidRPr="00CA08F2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-84.5</w:t>
            </w:r>
          </w:p>
        </w:tc>
      </w:tr>
      <w:tr w:rsidR="00590DD1" w:rsidRPr="003F4F87" w:rsidTr="00C81314">
        <w:trPr>
          <w:trHeight w:hRule="exact" w:val="510"/>
          <w:tblCellSpacing w:w="0" w:type="dxa"/>
          <w:jc w:val="center"/>
        </w:trPr>
        <w:tc>
          <w:tcPr>
            <w:tcW w:w="45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90DD1" w:rsidRPr="00CA08F2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房地产业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D1" w:rsidRPr="00CA08F2" w:rsidRDefault="00C171B6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342870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590DD1" w:rsidRPr="00CA08F2" w:rsidRDefault="00C171B6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-4.9</w:t>
            </w:r>
          </w:p>
        </w:tc>
      </w:tr>
      <w:tr w:rsidR="00590DD1" w:rsidRPr="003F4F87" w:rsidTr="00C81314">
        <w:trPr>
          <w:trHeight w:hRule="exact" w:val="510"/>
          <w:tblCellSpacing w:w="0" w:type="dxa"/>
          <w:jc w:val="center"/>
        </w:trPr>
        <w:tc>
          <w:tcPr>
            <w:tcW w:w="45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90DD1" w:rsidRPr="00CA08F2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租赁和商务服务业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D1" w:rsidRPr="00CA08F2" w:rsidRDefault="00C171B6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21744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590DD1" w:rsidRPr="00CA08F2" w:rsidRDefault="00C171B6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234.5</w:t>
            </w:r>
          </w:p>
        </w:tc>
      </w:tr>
      <w:tr w:rsidR="00590DD1" w:rsidRPr="003F4F87" w:rsidTr="00C81314">
        <w:trPr>
          <w:trHeight w:hRule="exact" w:val="510"/>
          <w:tblCellSpacing w:w="0" w:type="dxa"/>
          <w:jc w:val="center"/>
        </w:trPr>
        <w:tc>
          <w:tcPr>
            <w:tcW w:w="45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90DD1" w:rsidRPr="00CA08F2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科学研究</w:t>
            </w:r>
            <w:r w:rsidR="00CA1FFC" w:rsidRPr="00CA08F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和</w:t>
            </w: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技术服务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D1" w:rsidRPr="00CA08F2" w:rsidRDefault="00C171B6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1680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590DD1" w:rsidRPr="00CA08F2" w:rsidRDefault="00C171B6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-58.9</w:t>
            </w:r>
          </w:p>
        </w:tc>
      </w:tr>
      <w:tr w:rsidR="00590DD1" w:rsidRPr="003F4F87" w:rsidTr="00C81314">
        <w:trPr>
          <w:trHeight w:hRule="exact" w:val="510"/>
          <w:tblCellSpacing w:w="0" w:type="dxa"/>
          <w:jc w:val="center"/>
        </w:trPr>
        <w:tc>
          <w:tcPr>
            <w:tcW w:w="45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90DD1" w:rsidRPr="00CA08F2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水利、环境和公共设施管理业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D1" w:rsidRPr="00CA08F2" w:rsidRDefault="00C171B6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118691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590DD1" w:rsidRPr="00CA08F2" w:rsidRDefault="00C171B6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-12.7</w:t>
            </w:r>
          </w:p>
        </w:tc>
      </w:tr>
      <w:tr w:rsidR="00590DD1" w:rsidRPr="003F4F87" w:rsidTr="00C81314">
        <w:trPr>
          <w:trHeight w:hRule="exact" w:val="510"/>
          <w:tblCellSpacing w:w="0" w:type="dxa"/>
          <w:jc w:val="center"/>
        </w:trPr>
        <w:tc>
          <w:tcPr>
            <w:tcW w:w="45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90DD1" w:rsidRPr="00CA08F2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教 育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D1" w:rsidRPr="00CA08F2" w:rsidRDefault="00C171B6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36622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590DD1" w:rsidRPr="00CA08F2" w:rsidRDefault="00C171B6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96.3</w:t>
            </w:r>
          </w:p>
        </w:tc>
      </w:tr>
      <w:tr w:rsidR="00590DD1" w:rsidRPr="003F4F87" w:rsidTr="00C81314">
        <w:trPr>
          <w:trHeight w:hRule="exact" w:val="510"/>
          <w:tblCellSpacing w:w="0" w:type="dxa"/>
          <w:jc w:val="center"/>
        </w:trPr>
        <w:tc>
          <w:tcPr>
            <w:tcW w:w="45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90DD1" w:rsidRPr="00CA08F2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卫生、社会保障和社会福利业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D1" w:rsidRPr="00CA08F2" w:rsidRDefault="00C171B6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59807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590DD1" w:rsidRPr="00CA08F2" w:rsidRDefault="00C171B6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287.6</w:t>
            </w:r>
          </w:p>
        </w:tc>
      </w:tr>
      <w:tr w:rsidR="00590DD1" w:rsidRPr="003F4F87" w:rsidTr="00C81314">
        <w:trPr>
          <w:trHeight w:hRule="exact" w:val="510"/>
          <w:tblCellSpacing w:w="0" w:type="dxa"/>
          <w:jc w:val="center"/>
        </w:trPr>
        <w:tc>
          <w:tcPr>
            <w:tcW w:w="45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90DD1" w:rsidRPr="00CA08F2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文化、体育和娱乐业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D1" w:rsidRPr="00CA08F2" w:rsidRDefault="00C171B6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63054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590DD1" w:rsidRPr="00CA08F2" w:rsidRDefault="00C171B6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76.3</w:t>
            </w:r>
          </w:p>
        </w:tc>
      </w:tr>
      <w:tr w:rsidR="00590DD1" w:rsidRPr="003F4F87" w:rsidTr="00C81314">
        <w:trPr>
          <w:trHeight w:hRule="exact" w:val="510"/>
          <w:tblCellSpacing w:w="0" w:type="dxa"/>
          <w:jc w:val="center"/>
        </w:trPr>
        <w:tc>
          <w:tcPr>
            <w:tcW w:w="45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90DD1" w:rsidRPr="00CA08F2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公共管理和社会组织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D1" w:rsidRPr="00CA08F2" w:rsidRDefault="00C171B6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2100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590DD1" w:rsidRPr="00CA08F2" w:rsidRDefault="00C171B6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-82.1</w:t>
            </w:r>
          </w:p>
        </w:tc>
      </w:tr>
      <w:tr w:rsidR="00590DD1" w:rsidRPr="003F4F87" w:rsidTr="009525DB">
        <w:trPr>
          <w:trHeight w:hRule="exact" w:val="510"/>
          <w:tblCellSpacing w:w="0" w:type="dxa"/>
          <w:jc w:val="center"/>
        </w:trPr>
        <w:tc>
          <w:tcPr>
            <w:tcW w:w="4515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590DD1" w:rsidRPr="00CA08F2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A08F2">
              <w:rPr>
                <w:rFonts w:asciiTheme="minorEastAsia" w:hAnsiTheme="minorEastAsia" w:cs="宋体"/>
                <w:kern w:val="0"/>
                <w:sz w:val="28"/>
                <w:szCs w:val="28"/>
              </w:rPr>
              <w:t>居民服务和其他服务业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90DD1" w:rsidRPr="00CA08F2" w:rsidRDefault="00C171B6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2000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  <w:hideMark/>
          </w:tcPr>
          <w:p w:rsidR="00590DD1" w:rsidRPr="00CA08F2" w:rsidRDefault="00C171B6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-4.8</w:t>
            </w:r>
          </w:p>
        </w:tc>
      </w:tr>
    </w:tbl>
    <w:p w:rsidR="00590DD1" w:rsidRPr="00213C3F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全年房地产开发投资</w:t>
      </w:r>
      <w:r w:rsidR="00F4647A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155042</w:t>
      </w:r>
      <w:r w:rsidR="00B54419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元，增长</w:t>
      </w:r>
      <w:r w:rsidR="00F4647A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91.2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%。其中，住宅投资</w:t>
      </w:r>
      <w:r w:rsidR="00F4647A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93909</w:t>
      </w:r>
      <w:r w:rsidR="000019A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元，增长</w:t>
      </w:r>
      <w:r w:rsidR="00F4647A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50.2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%；商业营业用房投资</w:t>
      </w:r>
      <w:r w:rsidR="00F4647A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57779</w:t>
      </w:r>
      <w:r w:rsidR="000019A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</w:t>
      </w:r>
      <w:r w:rsidR="0019714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,增长388.4%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。</w:t>
      </w:r>
    </w:p>
    <w:p w:rsidR="00590DD1" w:rsidRPr="00213C3F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center"/>
        <w:rPr>
          <w:rFonts w:ascii="黑体" w:eastAsia="黑体" w:hAnsi="黑体" w:cs="宋体"/>
          <w:color w:val="000000" w:themeColor="text1"/>
          <w:kern w:val="0"/>
          <w:sz w:val="30"/>
          <w:szCs w:val="30"/>
        </w:rPr>
      </w:pPr>
      <w:r w:rsidRPr="00213C3F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lastRenderedPageBreak/>
        <w:t>表7 201</w:t>
      </w:r>
      <w:r w:rsidR="009A75B4" w:rsidRPr="00213C3F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>6</w:t>
      </w:r>
      <w:r w:rsidRPr="00213C3F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年房地产开发和销售情况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120"/>
        <w:gridCol w:w="1485"/>
        <w:gridCol w:w="1485"/>
        <w:gridCol w:w="1665"/>
      </w:tblGrid>
      <w:tr w:rsidR="00590DD1" w:rsidRPr="005A04FA" w:rsidTr="001B5F67">
        <w:trPr>
          <w:trHeight w:hRule="exact" w:val="510"/>
          <w:jc w:val="center"/>
        </w:trPr>
        <w:tc>
          <w:tcPr>
            <w:tcW w:w="31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指 标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单 位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绝对数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1C7F06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比上年增长%</w:t>
            </w:r>
          </w:p>
        </w:tc>
      </w:tr>
      <w:tr w:rsidR="00590DD1" w:rsidRPr="005A04FA" w:rsidTr="001B5F67">
        <w:trPr>
          <w:trHeight w:hRule="exact" w:val="510"/>
          <w:jc w:val="center"/>
        </w:trPr>
        <w:tc>
          <w:tcPr>
            <w:tcW w:w="31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投资完成额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亿 元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155042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1C7F06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91.2</w:t>
            </w:r>
          </w:p>
        </w:tc>
      </w:tr>
      <w:tr w:rsidR="00590DD1" w:rsidRPr="005A04FA" w:rsidTr="001B5F67">
        <w:trPr>
          <w:trHeight w:hRule="exact" w:val="510"/>
          <w:jc w:val="center"/>
        </w:trPr>
        <w:tc>
          <w:tcPr>
            <w:tcW w:w="31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其中：住 宅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亿 元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93909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1C7F06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50.2</w:t>
            </w:r>
          </w:p>
        </w:tc>
      </w:tr>
      <w:tr w:rsidR="00590DD1" w:rsidRPr="005A04FA" w:rsidTr="001B5F67">
        <w:trPr>
          <w:trHeight w:hRule="exact" w:val="510"/>
          <w:jc w:val="center"/>
        </w:trPr>
        <w:tc>
          <w:tcPr>
            <w:tcW w:w="31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房屋施工面积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万平方米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124.93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1C7F06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44.2</w:t>
            </w:r>
          </w:p>
        </w:tc>
      </w:tr>
      <w:tr w:rsidR="00590DD1" w:rsidRPr="005A04FA" w:rsidTr="001B5F67">
        <w:trPr>
          <w:trHeight w:hRule="exact" w:val="510"/>
          <w:jc w:val="center"/>
        </w:trPr>
        <w:tc>
          <w:tcPr>
            <w:tcW w:w="31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其中：住 宅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万平方米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87.43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1C7F06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39.6</w:t>
            </w:r>
          </w:p>
        </w:tc>
      </w:tr>
      <w:tr w:rsidR="00590DD1" w:rsidRPr="005A04FA" w:rsidTr="001B5F67">
        <w:trPr>
          <w:trHeight w:hRule="exact" w:val="510"/>
          <w:jc w:val="center"/>
        </w:trPr>
        <w:tc>
          <w:tcPr>
            <w:tcW w:w="31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房屋新开工面积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万平方米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38.27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1C7F06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80.8</w:t>
            </w:r>
          </w:p>
        </w:tc>
      </w:tr>
      <w:tr w:rsidR="00590DD1" w:rsidRPr="005A04FA" w:rsidTr="001B5F67">
        <w:trPr>
          <w:trHeight w:hRule="exact" w:val="510"/>
          <w:jc w:val="center"/>
        </w:trPr>
        <w:tc>
          <w:tcPr>
            <w:tcW w:w="31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其中：住 宅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万平方米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24.80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79.5</w:t>
            </w:r>
          </w:p>
          <w:p w:rsidR="009A75B4" w:rsidRPr="001C7F06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A75B4" w:rsidRPr="005A04FA" w:rsidTr="001B5F67">
        <w:trPr>
          <w:trHeight w:hRule="exact" w:val="510"/>
          <w:jc w:val="center"/>
        </w:trPr>
        <w:tc>
          <w:tcPr>
            <w:tcW w:w="31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75B4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房屋竣工面积</w:t>
            </w:r>
          </w:p>
          <w:p w:rsidR="009A75B4" w:rsidRPr="001C7F06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75B4" w:rsidRPr="001C7F06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万平方米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75B4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19.37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75B4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21.3</w:t>
            </w:r>
          </w:p>
        </w:tc>
      </w:tr>
      <w:tr w:rsidR="009A75B4" w:rsidRPr="005A04FA" w:rsidTr="001B5F67">
        <w:trPr>
          <w:trHeight w:hRule="exact" w:val="510"/>
          <w:jc w:val="center"/>
        </w:trPr>
        <w:tc>
          <w:tcPr>
            <w:tcW w:w="31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75B4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其中:住宅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75B4" w:rsidRPr="001C7F06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万平方米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75B4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10.98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75B4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13.5</w:t>
            </w:r>
          </w:p>
        </w:tc>
      </w:tr>
      <w:tr w:rsidR="00590DD1" w:rsidRPr="005A04FA" w:rsidTr="001B5F67">
        <w:trPr>
          <w:trHeight w:hRule="exact" w:val="510"/>
          <w:jc w:val="center"/>
        </w:trPr>
        <w:tc>
          <w:tcPr>
            <w:tcW w:w="31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商品房销售面积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万平方米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15.77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1C7F06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201.3</w:t>
            </w:r>
          </w:p>
        </w:tc>
      </w:tr>
      <w:tr w:rsidR="00590DD1" w:rsidRPr="005A04FA" w:rsidTr="001B5F67">
        <w:trPr>
          <w:trHeight w:hRule="exact" w:val="510"/>
          <w:jc w:val="center"/>
        </w:trPr>
        <w:tc>
          <w:tcPr>
            <w:tcW w:w="31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其中：住 宅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万平方米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1C7F06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14.91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1C7F06" w:rsidRDefault="009A75B4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199.3</w:t>
            </w:r>
          </w:p>
        </w:tc>
      </w:tr>
    </w:tbl>
    <w:p w:rsidR="00590DD1" w:rsidRPr="00213C3F" w:rsidRDefault="00590DD1" w:rsidP="00213C3F">
      <w:pPr>
        <w:widowControl/>
        <w:spacing w:before="100" w:beforeAutospacing="1" w:after="100" w:afterAutospacing="1" w:line="420" w:lineRule="atLeast"/>
        <w:ind w:firstLineChars="200" w:firstLine="720"/>
        <w:jc w:val="center"/>
        <w:rPr>
          <w:rFonts w:ascii="黑体" w:eastAsia="黑体" w:hAnsi="黑体" w:cs="宋体"/>
          <w:color w:val="000000" w:themeColor="text1"/>
          <w:kern w:val="0"/>
          <w:sz w:val="36"/>
          <w:szCs w:val="36"/>
        </w:rPr>
      </w:pPr>
      <w:r w:rsidRPr="00213C3F">
        <w:rPr>
          <w:rFonts w:ascii="黑体" w:eastAsia="黑体" w:hAnsi="黑体" w:cs="宋体"/>
          <w:color w:val="000000" w:themeColor="text1"/>
          <w:kern w:val="0"/>
          <w:sz w:val="36"/>
          <w:szCs w:val="36"/>
        </w:rPr>
        <w:t>五、能 源</w:t>
      </w:r>
    </w:p>
    <w:p w:rsidR="00590DD1" w:rsidRPr="00213C3F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全年全</w:t>
      </w:r>
      <w:r w:rsidR="00724A50"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一次能源生产折标准煤</w:t>
      </w:r>
      <w:r w:rsidR="00A959D9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596.7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万吨，</w:t>
      </w:r>
      <w:r w:rsidR="00A959D9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比上年下降31.6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%，二次能源生产折标准煤</w:t>
      </w:r>
      <w:r w:rsidR="00A959D9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2208.9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万吨，比上年下降</w:t>
      </w:r>
      <w:r w:rsidR="00A959D9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7</w:t>
      </w:r>
      <w:r w:rsidR="00650C99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.7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</w:t>
      </w:r>
    </w:p>
    <w:p w:rsidR="00590DD1" w:rsidRPr="00213C3F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全</w:t>
      </w:r>
      <w:r w:rsidR="00724A50"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能源工业投资完成</w:t>
      </w:r>
      <w:r w:rsidR="00213C3F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153180</w:t>
      </w:r>
      <w:r w:rsidR="00604DDB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</w:t>
      </w:r>
      <w:r w:rsidR="00213C3F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下降46.1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%。其中，煤炭工业投资</w:t>
      </w:r>
      <w:r w:rsidR="00EA738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68424</w:t>
      </w:r>
      <w:r w:rsidR="0021781A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</w:t>
      </w:r>
      <w:r w:rsidR="00EA738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下降52.8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%；电力</w:t>
      </w:r>
      <w:r w:rsidR="0021781A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、热力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工业投资</w:t>
      </w:r>
      <w:r w:rsidR="00EA738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9072</w:t>
      </w:r>
      <w:r w:rsidR="0021781A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</w:t>
      </w:r>
      <w:r w:rsidR="00EA738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下降62.5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%；焦化工业投资</w:t>
      </w:r>
      <w:r w:rsidR="00EA738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6400</w:t>
      </w:r>
      <w:r w:rsidR="0021781A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元，下降</w:t>
      </w:r>
      <w:r w:rsidR="00EA738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25.9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</w:t>
      </w:r>
    </w:p>
    <w:p w:rsidR="00590DD1" w:rsidRPr="00213C3F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全年全</w:t>
      </w:r>
      <w:r w:rsidR="00724A50"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全社会用电总量</w:t>
      </w:r>
      <w:r w:rsidR="004701A1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203309</w:t>
      </w:r>
      <w:r w:rsidR="00650C99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千瓦时。其中，第一产业用电</w:t>
      </w:r>
      <w:r w:rsidR="004701A1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6051</w:t>
      </w:r>
      <w:r w:rsidR="00650C99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千瓦时，占全部用电量</w:t>
      </w:r>
      <w:r w:rsidR="004701A1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3.0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%；第二产业用电</w:t>
      </w:r>
      <w:r w:rsidR="004701A1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147024</w:t>
      </w:r>
      <w:r w:rsidR="00650C99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千瓦时，占全部用电量</w:t>
      </w:r>
      <w:r w:rsidR="004701A1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72.3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%，其中，工业用电</w:t>
      </w:r>
      <w:r w:rsidR="004701A1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145898</w:t>
      </w:r>
      <w:r w:rsidR="00650C99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千瓦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lastRenderedPageBreak/>
        <w:t>时；第三产业用电</w:t>
      </w:r>
      <w:r w:rsidR="004701A1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16839</w:t>
      </w:r>
      <w:r w:rsidR="00650C99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千瓦时，占全部用电量</w:t>
      </w:r>
      <w:r w:rsidR="004701A1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8.3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%；城乡居民用电</w:t>
      </w:r>
      <w:r w:rsidR="004701A1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27936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千瓦时，占全部用电量</w:t>
      </w:r>
      <w:r w:rsidR="00650C99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13.</w:t>
      </w:r>
      <w:r w:rsidR="004701A1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7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</w:t>
      </w:r>
    </w:p>
    <w:p w:rsidR="00590DD1" w:rsidRPr="00213C3F" w:rsidRDefault="00590DD1" w:rsidP="00213C3F">
      <w:pPr>
        <w:widowControl/>
        <w:spacing w:before="100" w:beforeAutospacing="1" w:after="100" w:afterAutospacing="1" w:line="420" w:lineRule="atLeast"/>
        <w:ind w:firstLineChars="200" w:firstLine="720"/>
        <w:jc w:val="center"/>
        <w:rPr>
          <w:rFonts w:ascii="黑体" w:eastAsia="黑体" w:hAnsi="黑体" w:cs="宋体"/>
          <w:color w:val="000000" w:themeColor="text1"/>
          <w:kern w:val="0"/>
          <w:sz w:val="36"/>
          <w:szCs w:val="36"/>
        </w:rPr>
      </w:pPr>
      <w:r w:rsidRPr="00213C3F">
        <w:rPr>
          <w:rFonts w:ascii="黑体" w:eastAsia="黑体" w:hAnsi="黑体" w:cs="宋体"/>
          <w:color w:val="000000" w:themeColor="text1"/>
          <w:kern w:val="0"/>
          <w:sz w:val="36"/>
          <w:szCs w:val="36"/>
        </w:rPr>
        <w:t>六、国内贸易</w:t>
      </w:r>
      <w:r w:rsidR="006E6397" w:rsidRPr="00213C3F">
        <w:rPr>
          <w:rFonts w:ascii="黑体" w:eastAsia="黑体" w:hAnsi="黑体" w:cs="宋体" w:hint="eastAsia"/>
          <w:color w:val="000000" w:themeColor="text1"/>
          <w:kern w:val="0"/>
          <w:sz w:val="36"/>
          <w:szCs w:val="36"/>
        </w:rPr>
        <w:t>和对外经济</w:t>
      </w:r>
    </w:p>
    <w:p w:rsidR="00590DD1" w:rsidRPr="00213C3F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全年全</w:t>
      </w:r>
      <w:r w:rsidR="00724A50"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社会消费品零售总额</w:t>
      </w:r>
      <w:r w:rsidR="007846A3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563436</w:t>
      </w:r>
      <w:r w:rsidR="005114D8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元，增长</w:t>
      </w:r>
      <w:r w:rsidR="007846A3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6.2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%。按经营地统计，城镇消费品零售额</w:t>
      </w:r>
      <w:r w:rsidR="007846A3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337452</w:t>
      </w:r>
      <w:r w:rsidR="005114D8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元，增长</w:t>
      </w:r>
      <w:r w:rsidR="007846A3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6.0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%；乡村消费品零售额</w:t>
      </w:r>
      <w:r w:rsidR="007846A3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225984</w:t>
      </w:r>
      <w:r w:rsidR="005114D8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元，增长</w:t>
      </w:r>
      <w:r w:rsidR="007846A3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6.4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%。按消费形态统计，商品零售额</w:t>
      </w:r>
      <w:r w:rsidR="007846A3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532567</w:t>
      </w:r>
      <w:r w:rsidR="005114D8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元，增长</w:t>
      </w:r>
      <w:r w:rsidR="007846A3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6.3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%；餐饮收入额</w:t>
      </w:r>
      <w:r w:rsidR="007846A3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30869</w:t>
      </w:r>
      <w:r w:rsidR="005114D8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元，增长</w:t>
      </w:r>
      <w:r w:rsidR="007846A3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4.3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</w:t>
      </w:r>
    </w:p>
    <w:p w:rsidR="00590DD1" w:rsidRPr="00213C3F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rPr>
          <w:rFonts w:ascii="黑体" w:eastAsia="黑体" w:hAnsi="黑体" w:cs="宋体"/>
          <w:color w:val="000000" w:themeColor="text1"/>
          <w:kern w:val="0"/>
          <w:sz w:val="30"/>
          <w:szCs w:val="30"/>
        </w:rPr>
      </w:pPr>
      <w:r w:rsidRPr="00213C3F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表</w:t>
      </w:r>
      <w:r w:rsidR="0052416A" w:rsidRPr="00213C3F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>8</w:t>
      </w:r>
      <w:r w:rsidRPr="00213C3F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 xml:space="preserve"> 201</w:t>
      </w:r>
      <w:r w:rsidR="007846A3" w:rsidRPr="00213C3F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>6</w:t>
      </w:r>
      <w:r w:rsidRPr="00213C3F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年限额以上批发零售业零售额及其增长速度</w:t>
      </w:r>
    </w:p>
    <w:p w:rsidR="00590DD1" w:rsidRPr="00213C3F" w:rsidRDefault="00590DD1" w:rsidP="00213C3F">
      <w:pPr>
        <w:widowControl/>
        <w:spacing w:before="100" w:beforeAutospacing="1" w:after="100" w:afterAutospacing="1" w:line="420" w:lineRule="atLeast"/>
        <w:ind w:firstLineChars="200" w:firstLine="420"/>
        <w:jc w:val="righ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213C3F">
        <w:rPr>
          <w:rFonts w:asciiTheme="minorEastAsia" w:hAnsiTheme="minorEastAsia" w:cs="宋体"/>
          <w:color w:val="000000" w:themeColor="text1"/>
          <w:kern w:val="0"/>
          <w:szCs w:val="21"/>
        </w:rPr>
        <w:t>单位：</w:t>
      </w:r>
      <w:r w:rsidR="00253D85" w:rsidRPr="00213C3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万</w:t>
      </w:r>
      <w:r w:rsidRPr="00213C3F">
        <w:rPr>
          <w:rFonts w:asciiTheme="minorEastAsia" w:hAnsiTheme="minorEastAsia" w:cs="宋体"/>
          <w:color w:val="000000" w:themeColor="text1"/>
          <w:kern w:val="0"/>
          <w:szCs w:val="21"/>
        </w:rPr>
        <w:t>元、%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261"/>
        <w:gridCol w:w="1984"/>
        <w:gridCol w:w="1792"/>
      </w:tblGrid>
      <w:tr w:rsidR="00590DD1" w:rsidRPr="00213C3F" w:rsidTr="001B5F67">
        <w:trPr>
          <w:trHeight w:hRule="exact" w:val="510"/>
          <w:jc w:val="center"/>
        </w:trPr>
        <w:tc>
          <w:tcPr>
            <w:tcW w:w="4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213C3F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213C3F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指 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213C3F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213C3F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绝对数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213C3F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213C3F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比上年增长</w:t>
            </w:r>
          </w:p>
        </w:tc>
      </w:tr>
      <w:tr w:rsidR="00590DD1" w:rsidRPr="00213C3F" w:rsidTr="001B5F67">
        <w:trPr>
          <w:trHeight w:hRule="exact" w:val="510"/>
          <w:jc w:val="center"/>
        </w:trPr>
        <w:tc>
          <w:tcPr>
            <w:tcW w:w="4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213C3F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213C3F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汽车类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213C3F" w:rsidRDefault="007846A3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213C3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25097.3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213C3F" w:rsidRDefault="007846A3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213C3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54.3</w:t>
            </w:r>
          </w:p>
        </w:tc>
      </w:tr>
      <w:tr w:rsidR="00590DD1" w:rsidRPr="00213C3F" w:rsidTr="001B5F67">
        <w:trPr>
          <w:trHeight w:hRule="exact" w:val="510"/>
          <w:jc w:val="center"/>
        </w:trPr>
        <w:tc>
          <w:tcPr>
            <w:tcW w:w="4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213C3F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213C3F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石油及制品类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213C3F" w:rsidRDefault="00B972C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213C3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6725.9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213C3F" w:rsidRDefault="00B972C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213C3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32.9</w:t>
            </w:r>
          </w:p>
        </w:tc>
      </w:tr>
      <w:tr w:rsidR="00590DD1" w:rsidRPr="00213C3F" w:rsidTr="001B5F67">
        <w:trPr>
          <w:trHeight w:hRule="exact" w:val="510"/>
          <w:jc w:val="center"/>
        </w:trPr>
        <w:tc>
          <w:tcPr>
            <w:tcW w:w="4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213C3F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213C3F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建筑及装潢材料类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213C3F" w:rsidRDefault="00B972C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213C3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41651.2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213C3F" w:rsidRDefault="00B972C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213C3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-2.5</w:t>
            </w:r>
          </w:p>
        </w:tc>
      </w:tr>
      <w:tr w:rsidR="00590DD1" w:rsidRPr="00213C3F" w:rsidTr="001B5F67">
        <w:trPr>
          <w:trHeight w:hRule="exact" w:val="510"/>
          <w:jc w:val="center"/>
        </w:trPr>
        <w:tc>
          <w:tcPr>
            <w:tcW w:w="4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213C3F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213C3F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服装、鞋帽、针纺织品类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213C3F" w:rsidRDefault="00B972C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213C3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670.5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213C3F" w:rsidRDefault="00B972C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213C3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-33.0</w:t>
            </w:r>
          </w:p>
        </w:tc>
      </w:tr>
      <w:tr w:rsidR="00590DD1" w:rsidRPr="00213C3F" w:rsidTr="001B5F67">
        <w:trPr>
          <w:trHeight w:hRule="exact" w:val="510"/>
          <w:jc w:val="center"/>
        </w:trPr>
        <w:tc>
          <w:tcPr>
            <w:tcW w:w="4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213C3F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213C3F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粮油、食品类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213C3F" w:rsidRDefault="00B972C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213C3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5490.6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213C3F" w:rsidRDefault="00B972C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213C3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2.1</w:t>
            </w:r>
          </w:p>
        </w:tc>
      </w:tr>
      <w:tr w:rsidR="00590DD1" w:rsidRPr="00213C3F" w:rsidTr="001B5F67">
        <w:trPr>
          <w:trHeight w:hRule="exact" w:val="510"/>
          <w:jc w:val="center"/>
        </w:trPr>
        <w:tc>
          <w:tcPr>
            <w:tcW w:w="4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213C3F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213C3F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家用电器和音像器材类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213C3F" w:rsidRDefault="00B972C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213C3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6275.5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213C3F" w:rsidRDefault="00B972C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213C3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-7.3</w:t>
            </w:r>
          </w:p>
        </w:tc>
      </w:tr>
      <w:tr w:rsidR="00590DD1" w:rsidRPr="00213C3F" w:rsidTr="001B5F67">
        <w:trPr>
          <w:trHeight w:hRule="exact" w:val="510"/>
          <w:jc w:val="center"/>
        </w:trPr>
        <w:tc>
          <w:tcPr>
            <w:tcW w:w="4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213C3F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213C3F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家具类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213C3F" w:rsidRDefault="00B972C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213C3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23595.1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213C3F" w:rsidRDefault="00B972C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213C3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-11.9</w:t>
            </w:r>
          </w:p>
        </w:tc>
      </w:tr>
      <w:tr w:rsidR="00590DD1" w:rsidRPr="00213C3F" w:rsidTr="001B5F67">
        <w:trPr>
          <w:trHeight w:hRule="exact" w:val="510"/>
          <w:jc w:val="center"/>
        </w:trPr>
        <w:tc>
          <w:tcPr>
            <w:tcW w:w="4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213C3F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213C3F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中西药品类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213C3F" w:rsidRDefault="00B972C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213C3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2683.7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213C3F" w:rsidRDefault="00B972C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213C3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-8.4</w:t>
            </w:r>
          </w:p>
        </w:tc>
      </w:tr>
      <w:tr w:rsidR="00590DD1" w:rsidRPr="00213C3F" w:rsidTr="001B5F67">
        <w:trPr>
          <w:trHeight w:hRule="exact" w:val="510"/>
          <w:jc w:val="center"/>
        </w:trPr>
        <w:tc>
          <w:tcPr>
            <w:tcW w:w="4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213C3F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213C3F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书报杂志类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213C3F" w:rsidRDefault="00B972C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213C3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4666.0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213C3F" w:rsidRDefault="00B972C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213C3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-18.6</w:t>
            </w:r>
          </w:p>
        </w:tc>
      </w:tr>
      <w:tr w:rsidR="00590DD1" w:rsidRPr="00213C3F" w:rsidTr="001B5F67">
        <w:trPr>
          <w:trHeight w:hRule="exact" w:val="510"/>
          <w:jc w:val="center"/>
        </w:trPr>
        <w:tc>
          <w:tcPr>
            <w:tcW w:w="4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213C3F" w:rsidRDefault="00B972C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213C3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化妆</w:t>
            </w:r>
            <w:r w:rsidR="0056622C" w:rsidRPr="00213C3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品类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213C3F" w:rsidRDefault="00B972C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213C3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403.8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213C3F" w:rsidRDefault="00B972C1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213C3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-20.0</w:t>
            </w:r>
          </w:p>
        </w:tc>
      </w:tr>
    </w:tbl>
    <w:p w:rsidR="00B972C1" w:rsidRPr="00213C3F" w:rsidRDefault="00B972C1" w:rsidP="00213C3F">
      <w:pPr>
        <w:widowControl/>
        <w:spacing w:before="100" w:beforeAutospacing="1" w:after="100" w:afterAutospacing="1" w:line="420" w:lineRule="atLeast"/>
        <w:ind w:firstLineChars="200" w:firstLine="600"/>
        <w:jc w:val="center"/>
        <w:rPr>
          <w:rFonts w:ascii="黑体" w:eastAsia="黑体" w:hAnsi="黑体" w:cs="宋体"/>
          <w:color w:val="000000" w:themeColor="text1"/>
          <w:kern w:val="0"/>
          <w:sz w:val="30"/>
          <w:szCs w:val="30"/>
        </w:rPr>
      </w:pPr>
    </w:p>
    <w:p w:rsidR="00CA08F2" w:rsidRPr="00213C3F" w:rsidRDefault="00CA08F2" w:rsidP="00213C3F">
      <w:pPr>
        <w:widowControl/>
        <w:spacing w:before="100" w:beforeAutospacing="1" w:after="100" w:afterAutospacing="1" w:line="420" w:lineRule="atLeast"/>
        <w:ind w:firstLineChars="200" w:firstLine="600"/>
        <w:jc w:val="center"/>
        <w:rPr>
          <w:rFonts w:ascii="黑体" w:eastAsia="黑体" w:hAnsi="黑体" w:cs="宋体"/>
          <w:color w:val="000000" w:themeColor="text1"/>
          <w:kern w:val="0"/>
          <w:sz w:val="30"/>
          <w:szCs w:val="30"/>
        </w:rPr>
      </w:pPr>
      <w:r w:rsidRPr="00213C3F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lastRenderedPageBreak/>
        <w:t>表</w:t>
      </w:r>
      <w:r w:rsidR="0052416A" w:rsidRPr="00213C3F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>9</w:t>
      </w:r>
      <w:r w:rsidRPr="00213C3F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 xml:space="preserve"> 201</w:t>
      </w:r>
      <w:r w:rsidR="009525DB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>6</w:t>
      </w:r>
      <w:r w:rsidRPr="00213C3F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年社会消费品零售总额及其增长速度</w:t>
      </w:r>
    </w:p>
    <w:p w:rsidR="00CA08F2" w:rsidRPr="00253D85" w:rsidRDefault="00CA08F2" w:rsidP="00213C3F">
      <w:pPr>
        <w:widowControl/>
        <w:spacing w:before="100" w:beforeAutospacing="1" w:after="100" w:afterAutospacing="1" w:line="420" w:lineRule="atLeast"/>
        <w:ind w:firstLineChars="200" w:firstLine="420"/>
        <w:jc w:val="right"/>
        <w:rPr>
          <w:rFonts w:asciiTheme="minorEastAsia" w:hAnsiTheme="minorEastAsia" w:cs="宋体"/>
          <w:kern w:val="0"/>
          <w:szCs w:val="21"/>
        </w:rPr>
      </w:pPr>
      <w:r w:rsidRPr="00253D85">
        <w:rPr>
          <w:rFonts w:asciiTheme="minorEastAsia" w:hAnsiTheme="minorEastAsia" w:cs="宋体"/>
          <w:kern w:val="0"/>
          <w:szCs w:val="21"/>
        </w:rPr>
        <w:t>单位：</w:t>
      </w:r>
      <w:r w:rsidRPr="00253D85">
        <w:rPr>
          <w:rFonts w:asciiTheme="minorEastAsia" w:hAnsiTheme="minorEastAsia" w:cs="宋体" w:hint="eastAsia"/>
          <w:kern w:val="0"/>
          <w:szCs w:val="21"/>
        </w:rPr>
        <w:t>万</w:t>
      </w:r>
      <w:r w:rsidRPr="00253D85">
        <w:rPr>
          <w:rFonts w:asciiTheme="minorEastAsia" w:hAnsiTheme="minorEastAsia" w:cs="宋体"/>
          <w:kern w:val="0"/>
          <w:szCs w:val="21"/>
        </w:rPr>
        <w:t>元、%</w:t>
      </w:r>
    </w:p>
    <w:tbl>
      <w:tblPr>
        <w:tblW w:w="0" w:type="auto"/>
        <w:jc w:val="center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276"/>
        <w:gridCol w:w="1984"/>
        <w:gridCol w:w="1807"/>
      </w:tblGrid>
      <w:tr w:rsidR="00CA08F2" w:rsidRPr="0025664F" w:rsidTr="009525DB">
        <w:trPr>
          <w:trHeight w:val="624"/>
          <w:jc w:val="center"/>
        </w:trPr>
        <w:tc>
          <w:tcPr>
            <w:tcW w:w="4276" w:type="dxa"/>
            <w:vAlign w:val="center"/>
            <w:hideMark/>
          </w:tcPr>
          <w:p w:rsidR="00CA08F2" w:rsidRPr="0025664F" w:rsidRDefault="00CA08F2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25664F">
              <w:rPr>
                <w:rFonts w:asciiTheme="minorEastAsia" w:hAnsiTheme="minorEastAsia" w:cs="宋体"/>
                <w:kern w:val="0"/>
                <w:sz w:val="30"/>
                <w:szCs w:val="30"/>
              </w:rPr>
              <w:t>指 标</w:t>
            </w:r>
          </w:p>
        </w:tc>
        <w:tc>
          <w:tcPr>
            <w:tcW w:w="1984" w:type="dxa"/>
            <w:vAlign w:val="center"/>
            <w:hideMark/>
          </w:tcPr>
          <w:p w:rsidR="00CA08F2" w:rsidRPr="0025664F" w:rsidRDefault="00CA08F2" w:rsidP="009525DB">
            <w:pPr>
              <w:widowControl/>
              <w:spacing w:before="100" w:beforeAutospacing="1" w:after="100" w:afterAutospacing="1" w:line="330" w:lineRule="atLeast"/>
              <w:ind w:firstLineChars="200" w:firstLine="600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25664F">
              <w:rPr>
                <w:rFonts w:asciiTheme="minorEastAsia" w:hAnsiTheme="minorEastAsia" w:cs="宋体"/>
                <w:kern w:val="0"/>
                <w:sz w:val="30"/>
                <w:szCs w:val="30"/>
              </w:rPr>
              <w:t>绝对数</w:t>
            </w:r>
          </w:p>
        </w:tc>
        <w:tc>
          <w:tcPr>
            <w:tcW w:w="1807" w:type="dxa"/>
            <w:vAlign w:val="center"/>
            <w:hideMark/>
          </w:tcPr>
          <w:p w:rsidR="00CA08F2" w:rsidRPr="0025664F" w:rsidRDefault="00CA08F2" w:rsidP="009525DB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25664F">
              <w:rPr>
                <w:rFonts w:asciiTheme="minorEastAsia" w:hAnsiTheme="minorEastAsia" w:cs="宋体"/>
                <w:kern w:val="0"/>
                <w:sz w:val="30"/>
                <w:szCs w:val="30"/>
              </w:rPr>
              <w:t>比上年增</w:t>
            </w:r>
            <w:r w:rsidR="009525DB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长</w:t>
            </w:r>
          </w:p>
        </w:tc>
      </w:tr>
      <w:tr w:rsidR="00CA08F2" w:rsidRPr="0025664F" w:rsidTr="009525DB">
        <w:trPr>
          <w:trHeight w:val="624"/>
          <w:jc w:val="center"/>
        </w:trPr>
        <w:tc>
          <w:tcPr>
            <w:tcW w:w="4276" w:type="dxa"/>
            <w:vAlign w:val="center"/>
            <w:hideMark/>
          </w:tcPr>
          <w:p w:rsidR="00CA08F2" w:rsidRPr="0025664F" w:rsidRDefault="00CA08F2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25664F">
              <w:rPr>
                <w:rFonts w:asciiTheme="minorEastAsia" w:hAnsiTheme="minorEastAsia" w:cs="宋体"/>
                <w:kern w:val="0"/>
                <w:sz w:val="30"/>
                <w:szCs w:val="30"/>
              </w:rPr>
              <w:t>社会消费品零售总额</w:t>
            </w:r>
          </w:p>
        </w:tc>
        <w:tc>
          <w:tcPr>
            <w:tcW w:w="1984" w:type="dxa"/>
            <w:vAlign w:val="center"/>
            <w:hideMark/>
          </w:tcPr>
          <w:p w:rsidR="00CA08F2" w:rsidRPr="0025664F" w:rsidRDefault="00B972C1" w:rsidP="009525DB">
            <w:pPr>
              <w:widowControl/>
              <w:spacing w:before="100" w:beforeAutospacing="1" w:after="100" w:afterAutospacing="1" w:line="330" w:lineRule="atLeast"/>
              <w:ind w:firstLineChars="200" w:firstLine="600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563436</w:t>
            </w:r>
          </w:p>
        </w:tc>
        <w:tc>
          <w:tcPr>
            <w:tcW w:w="1807" w:type="dxa"/>
            <w:vAlign w:val="center"/>
            <w:hideMark/>
          </w:tcPr>
          <w:p w:rsidR="00CA08F2" w:rsidRPr="0025664F" w:rsidRDefault="00B972C1" w:rsidP="009525DB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6.2</w:t>
            </w:r>
          </w:p>
        </w:tc>
      </w:tr>
      <w:tr w:rsidR="00CA08F2" w:rsidRPr="0025664F" w:rsidTr="009525DB">
        <w:trPr>
          <w:trHeight w:val="624"/>
          <w:jc w:val="center"/>
        </w:trPr>
        <w:tc>
          <w:tcPr>
            <w:tcW w:w="4276" w:type="dxa"/>
            <w:vAlign w:val="center"/>
            <w:hideMark/>
          </w:tcPr>
          <w:p w:rsidR="00CA08F2" w:rsidRPr="0025664F" w:rsidRDefault="00CA08F2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25664F">
              <w:rPr>
                <w:rFonts w:asciiTheme="minorEastAsia" w:hAnsiTheme="minorEastAsia" w:cs="宋体"/>
                <w:kern w:val="0"/>
                <w:sz w:val="30"/>
                <w:szCs w:val="30"/>
              </w:rPr>
              <w:t>分地域：城 镇</w:t>
            </w:r>
          </w:p>
        </w:tc>
        <w:tc>
          <w:tcPr>
            <w:tcW w:w="1984" w:type="dxa"/>
            <w:vAlign w:val="center"/>
            <w:hideMark/>
          </w:tcPr>
          <w:p w:rsidR="00CA08F2" w:rsidRPr="0025664F" w:rsidRDefault="00B972C1" w:rsidP="009525DB">
            <w:pPr>
              <w:widowControl/>
              <w:spacing w:before="100" w:beforeAutospacing="1" w:after="100" w:afterAutospacing="1" w:line="330" w:lineRule="atLeast"/>
              <w:ind w:firstLineChars="200" w:firstLine="600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337452</w:t>
            </w:r>
          </w:p>
        </w:tc>
        <w:tc>
          <w:tcPr>
            <w:tcW w:w="1807" w:type="dxa"/>
            <w:vAlign w:val="center"/>
            <w:hideMark/>
          </w:tcPr>
          <w:p w:rsidR="00CA08F2" w:rsidRPr="0025664F" w:rsidRDefault="00B972C1" w:rsidP="009525DB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6.0</w:t>
            </w:r>
          </w:p>
        </w:tc>
      </w:tr>
      <w:tr w:rsidR="00CA08F2" w:rsidRPr="0025664F" w:rsidTr="009525DB">
        <w:trPr>
          <w:trHeight w:val="624"/>
          <w:jc w:val="center"/>
        </w:trPr>
        <w:tc>
          <w:tcPr>
            <w:tcW w:w="4276" w:type="dxa"/>
            <w:vAlign w:val="center"/>
            <w:hideMark/>
          </w:tcPr>
          <w:p w:rsidR="00CA08F2" w:rsidRPr="0025664F" w:rsidRDefault="00CA08F2" w:rsidP="009525DB">
            <w:pPr>
              <w:widowControl/>
              <w:spacing w:before="100" w:beforeAutospacing="1" w:after="100" w:afterAutospacing="1" w:line="330" w:lineRule="atLeast"/>
              <w:ind w:firstLineChars="600" w:firstLine="1800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25664F">
              <w:rPr>
                <w:rFonts w:asciiTheme="minorEastAsia" w:hAnsiTheme="minorEastAsia" w:cs="宋体"/>
                <w:kern w:val="0"/>
                <w:sz w:val="30"/>
                <w:szCs w:val="30"/>
              </w:rPr>
              <w:t>乡 村</w:t>
            </w:r>
          </w:p>
        </w:tc>
        <w:tc>
          <w:tcPr>
            <w:tcW w:w="1984" w:type="dxa"/>
            <w:vAlign w:val="center"/>
            <w:hideMark/>
          </w:tcPr>
          <w:p w:rsidR="00CA08F2" w:rsidRPr="0025664F" w:rsidRDefault="00B972C1" w:rsidP="009525DB">
            <w:pPr>
              <w:widowControl/>
              <w:spacing w:before="100" w:beforeAutospacing="1" w:after="100" w:afterAutospacing="1" w:line="330" w:lineRule="atLeast"/>
              <w:ind w:firstLineChars="200" w:firstLine="600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225984</w:t>
            </w:r>
          </w:p>
        </w:tc>
        <w:tc>
          <w:tcPr>
            <w:tcW w:w="1807" w:type="dxa"/>
            <w:vAlign w:val="center"/>
            <w:hideMark/>
          </w:tcPr>
          <w:p w:rsidR="00CA08F2" w:rsidRPr="0025664F" w:rsidRDefault="00B972C1" w:rsidP="009525DB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6.4</w:t>
            </w:r>
          </w:p>
        </w:tc>
      </w:tr>
      <w:tr w:rsidR="00CA08F2" w:rsidRPr="0025664F" w:rsidTr="009525DB">
        <w:trPr>
          <w:trHeight w:val="624"/>
          <w:jc w:val="center"/>
        </w:trPr>
        <w:tc>
          <w:tcPr>
            <w:tcW w:w="4276" w:type="dxa"/>
            <w:vAlign w:val="center"/>
            <w:hideMark/>
          </w:tcPr>
          <w:p w:rsidR="00CA08F2" w:rsidRPr="0025664F" w:rsidRDefault="00CA08F2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25664F">
              <w:rPr>
                <w:rFonts w:asciiTheme="minorEastAsia" w:hAnsiTheme="minorEastAsia" w:cs="宋体"/>
                <w:kern w:val="0"/>
                <w:sz w:val="30"/>
                <w:szCs w:val="30"/>
              </w:rPr>
              <w:t>分行业：批发业</w:t>
            </w:r>
          </w:p>
        </w:tc>
        <w:tc>
          <w:tcPr>
            <w:tcW w:w="1984" w:type="dxa"/>
            <w:vAlign w:val="center"/>
            <w:hideMark/>
          </w:tcPr>
          <w:p w:rsidR="00CA08F2" w:rsidRPr="0025664F" w:rsidRDefault="000C6005" w:rsidP="009525DB">
            <w:pPr>
              <w:widowControl/>
              <w:spacing w:before="100" w:beforeAutospacing="1" w:after="100" w:afterAutospacing="1" w:line="330" w:lineRule="atLeast"/>
              <w:ind w:firstLineChars="200" w:firstLine="600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110077</w:t>
            </w:r>
          </w:p>
        </w:tc>
        <w:tc>
          <w:tcPr>
            <w:tcW w:w="1807" w:type="dxa"/>
            <w:vAlign w:val="center"/>
            <w:hideMark/>
          </w:tcPr>
          <w:p w:rsidR="00CA08F2" w:rsidRPr="00E128C9" w:rsidRDefault="00E128C9" w:rsidP="009525DB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E128C9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9.3</w:t>
            </w:r>
          </w:p>
        </w:tc>
      </w:tr>
      <w:tr w:rsidR="00CA08F2" w:rsidRPr="0025664F" w:rsidTr="009525DB">
        <w:trPr>
          <w:trHeight w:val="624"/>
          <w:jc w:val="center"/>
        </w:trPr>
        <w:tc>
          <w:tcPr>
            <w:tcW w:w="4276" w:type="dxa"/>
            <w:vAlign w:val="center"/>
            <w:hideMark/>
          </w:tcPr>
          <w:p w:rsidR="00CA08F2" w:rsidRPr="0025664F" w:rsidRDefault="00CA08F2" w:rsidP="00AF7E93">
            <w:pPr>
              <w:widowControl/>
              <w:spacing w:before="100" w:beforeAutospacing="1" w:after="100" w:afterAutospacing="1" w:line="330" w:lineRule="atLeast"/>
              <w:ind w:firstLineChars="600" w:firstLine="1800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25664F">
              <w:rPr>
                <w:rFonts w:asciiTheme="minorEastAsia" w:hAnsiTheme="minorEastAsia" w:cs="宋体"/>
                <w:kern w:val="0"/>
                <w:sz w:val="30"/>
                <w:szCs w:val="30"/>
              </w:rPr>
              <w:t>零售业</w:t>
            </w:r>
          </w:p>
        </w:tc>
        <w:tc>
          <w:tcPr>
            <w:tcW w:w="1984" w:type="dxa"/>
            <w:vAlign w:val="center"/>
            <w:hideMark/>
          </w:tcPr>
          <w:p w:rsidR="00CA08F2" w:rsidRPr="0025664F" w:rsidRDefault="000C6005" w:rsidP="009525DB">
            <w:pPr>
              <w:widowControl/>
              <w:spacing w:before="100" w:beforeAutospacing="1" w:after="100" w:afterAutospacing="1" w:line="330" w:lineRule="atLeast"/>
              <w:ind w:firstLineChars="200" w:firstLine="600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422487</w:t>
            </w:r>
          </w:p>
        </w:tc>
        <w:tc>
          <w:tcPr>
            <w:tcW w:w="1807" w:type="dxa"/>
            <w:vAlign w:val="center"/>
            <w:hideMark/>
          </w:tcPr>
          <w:p w:rsidR="00CA08F2" w:rsidRPr="00E128C9" w:rsidRDefault="00E128C9" w:rsidP="009525DB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E128C9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5.5</w:t>
            </w:r>
          </w:p>
        </w:tc>
      </w:tr>
      <w:tr w:rsidR="00CA08F2" w:rsidRPr="0025664F" w:rsidTr="009525DB">
        <w:trPr>
          <w:trHeight w:val="624"/>
          <w:jc w:val="center"/>
        </w:trPr>
        <w:tc>
          <w:tcPr>
            <w:tcW w:w="4276" w:type="dxa"/>
            <w:vAlign w:val="center"/>
            <w:hideMark/>
          </w:tcPr>
          <w:p w:rsidR="00CA08F2" w:rsidRPr="0025664F" w:rsidRDefault="00CA08F2" w:rsidP="00AF7E93">
            <w:pPr>
              <w:widowControl/>
              <w:spacing w:before="100" w:beforeAutospacing="1" w:after="100" w:afterAutospacing="1" w:line="330" w:lineRule="atLeast"/>
              <w:ind w:firstLineChars="600" w:firstLine="1800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25664F">
              <w:rPr>
                <w:rFonts w:asciiTheme="minorEastAsia" w:hAnsiTheme="minorEastAsia" w:cs="宋体"/>
                <w:kern w:val="0"/>
                <w:sz w:val="30"/>
                <w:szCs w:val="30"/>
              </w:rPr>
              <w:t>住宿业</w:t>
            </w:r>
          </w:p>
        </w:tc>
        <w:tc>
          <w:tcPr>
            <w:tcW w:w="1984" w:type="dxa"/>
            <w:vAlign w:val="center"/>
            <w:hideMark/>
          </w:tcPr>
          <w:p w:rsidR="00CA08F2" w:rsidRPr="0025664F" w:rsidRDefault="000C6005" w:rsidP="009525DB">
            <w:pPr>
              <w:widowControl/>
              <w:spacing w:before="100" w:beforeAutospacing="1" w:after="100" w:afterAutospacing="1" w:line="330" w:lineRule="atLeast"/>
              <w:ind w:firstLineChars="200" w:firstLine="600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2488</w:t>
            </w:r>
          </w:p>
        </w:tc>
        <w:tc>
          <w:tcPr>
            <w:tcW w:w="1807" w:type="dxa"/>
            <w:vAlign w:val="center"/>
            <w:hideMark/>
          </w:tcPr>
          <w:p w:rsidR="00CA08F2" w:rsidRPr="00E128C9" w:rsidRDefault="00E128C9" w:rsidP="009525DB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E128C9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10.0</w:t>
            </w:r>
          </w:p>
        </w:tc>
      </w:tr>
      <w:tr w:rsidR="00CA08F2" w:rsidRPr="0025664F" w:rsidTr="009525DB">
        <w:trPr>
          <w:trHeight w:val="624"/>
          <w:jc w:val="center"/>
        </w:trPr>
        <w:tc>
          <w:tcPr>
            <w:tcW w:w="4276" w:type="dxa"/>
            <w:vAlign w:val="center"/>
            <w:hideMark/>
          </w:tcPr>
          <w:p w:rsidR="00CA08F2" w:rsidRPr="0025664F" w:rsidRDefault="00CA08F2" w:rsidP="00AF7E93">
            <w:pPr>
              <w:widowControl/>
              <w:spacing w:before="100" w:beforeAutospacing="1" w:after="100" w:afterAutospacing="1" w:line="330" w:lineRule="atLeast"/>
              <w:ind w:firstLineChars="600" w:firstLine="1800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25664F">
              <w:rPr>
                <w:rFonts w:asciiTheme="minorEastAsia" w:hAnsiTheme="minorEastAsia" w:cs="宋体"/>
                <w:kern w:val="0"/>
                <w:sz w:val="30"/>
                <w:szCs w:val="30"/>
              </w:rPr>
              <w:t>餐饮业</w:t>
            </w:r>
          </w:p>
        </w:tc>
        <w:tc>
          <w:tcPr>
            <w:tcW w:w="1984" w:type="dxa"/>
            <w:vAlign w:val="center"/>
            <w:hideMark/>
          </w:tcPr>
          <w:p w:rsidR="00CA08F2" w:rsidRPr="0025664F" w:rsidRDefault="000C6005" w:rsidP="009525DB">
            <w:pPr>
              <w:widowControl/>
              <w:spacing w:before="100" w:beforeAutospacing="1" w:after="100" w:afterAutospacing="1" w:line="330" w:lineRule="atLeast"/>
              <w:ind w:firstLineChars="200" w:firstLine="600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28384</w:t>
            </w:r>
          </w:p>
        </w:tc>
        <w:tc>
          <w:tcPr>
            <w:tcW w:w="1807" w:type="dxa"/>
            <w:vAlign w:val="center"/>
            <w:hideMark/>
          </w:tcPr>
          <w:p w:rsidR="00CA08F2" w:rsidRPr="00E128C9" w:rsidRDefault="00E128C9" w:rsidP="009525DB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E128C9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3.8</w:t>
            </w:r>
          </w:p>
        </w:tc>
      </w:tr>
    </w:tbl>
    <w:p w:rsidR="00590DD1" w:rsidRPr="00213C3F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全年全</w:t>
      </w:r>
      <w:r w:rsidR="00724A50"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海关进出口总额</w:t>
      </w:r>
      <w:r w:rsidR="00380C7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6727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万美元，下降</w:t>
      </w:r>
      <w:r w:rsidR="00764979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8.4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%。其中，进口额</w:t>
      </w:r>
      <w:r w:rsidR="00380C7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35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万美元，</w:t>
      </w:r>
      <w:r w:rsidR="00764979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下降82.3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%；出口额</w:t>
      </w:r>
      <w:r w:rsidR="00380C77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6692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万美元，下降</w:t>
      </w:r>
      <w:r w:rsidR="00764979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6.3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</w:t>
      </w:r>
    </w:p>
    <w:p w:rsidR="00590DD1" w:rsidRPr="00253D85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center"/>
        <w:rPr>
          <w:rFonts w:ascii="黑体" w:eastAsia="黑体" w:hAnsi="黑体" w:cs="宋体"/>
          <w:color w:val="000000" w:themeColor="text1"/>
          <w:kern w:val="0"/>
          <w:sz w:val="30"/>
          <w:szCs w:val="30"/>
        </w:rPr>
      </w:pPr>
      <w:r w:rsidRPr="00253D85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图5 201</w:t>
      </w:r>
      <w:r w:rsidR="00380C77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>2</w:t>
      </w:r>
      <w:r w:rsidRPr="00253D85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-201</w:t>
      </w:r>
      <w:r w:rsidR="00380C77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>6</w:t>
      </w:r>
      <w:r w:rsidRPr="00253D85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年海关进出口总额及其增长速度</w:t>
      </w:r>
    </w:p>
    <w:p w:rsidR="00590DD1" w:rsidRPr="00724A50" w:rsidRDefault="001673D9" w:rsidP="00213C3F">
      <w:pPr>
        <w:widowControl/>
        <w:spacing w:before="100" w:beforeAutospacing="1" w:after="100" w:afterAutospacing="1" w:line="420" w:lineRule="atLeast"/>
        <w:ind w:firstLineChars="200" w:firstLine="600"/>
        <w:jc w:val="center"/>
        <w:rPr>
          <w:rFonts w:asciiTheme="minorEastAsia" w:hAnsiTheme="minorEastAsia" w:cs="宋体"/>
          <w:color w:val="FF0000"/>
          <w:kern w:val="0"/>
          <w:sz w:val="30"/>
          <w:szCs w:val="30"/>
        </w:rPr>
      </w:pPr>
      <w:r w:rsidRPr="001673D9">
        <w:rPr>
          <w:rFonts w:asciiTheme="minorEastAsia" w:hAnsiTheme="minorEastAsia" w:cs="宋体" w:hint="eastAsia"/>
          <w:noProof/>
          <w:color w:val="FF0000"/>
          <w:kern w:val="0"/>
          <w:sz w:val="30"/>
          <w:szCs w:val="30"/>
        </w:rPr>
        <w:drawing>
          <wp:inline distT="0" distB="0" distL="0" distR="0">
            <wp:extent cx="4905375" cy="2647950"/>
            <wp:effectExtent l="0" t="0" r="0" b="0"/>
            <wp:docPr id="9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90DD1" w:rsidRPr="00213C3F" w:rsidRDefault="005A04FA" w:rsidP="00213C3F">
      <w:pPr>
        <w:widowControl/>
        <w:spacing w:before="100" w:beforeAutospacing="1" w:after="100" w:afterAutospacing="1" w:line="420" w:lineRule="atLeast"/>
        <w:ind w:firstLineChars="200" w:firstLine="720"/>
        <w:jc w:val="center"/>
        <w:rPr>
          <w:rFonts w:ascii="黑体" w:eastAsia="黑体" w:hAnsi="黑体" w:cs="宋体"/>
          <w:color w:val="000000" w:themeColor="text1"/>
          <w:kern w:val="0"/>
          <w:sz w:val="36"/>
          <w:szCs w:val="36"/>
        </w:rPr>
      </w:pPr>
      <w:r w:rsidRPr="00213C3F">
        <w:rPr>
          <w:rFonts w:ascii="黑体" w:eastAsia="黑体" w:hAnsi="黑体" w:cs="宋体" w:hint="eastAsia"/>
          <w:color w:val="000000" w:themeColor="text1"/>
          <w:kern w:val="0"/>
          <w:sz w:val="36"/>
          <w:szCs w:val="36"/>
        </w:rPr>
        <w:lastRenderedPageBreak/>
        <w:t>七</w:t>
      </w:r>
      <w:r w:rsidR="00590DD1" w:rsidRPr="00213C3F">
        <w:rPr>
          <w:rFonts w:ascii="黑体" w:eastAsia="黑体" w:hAnsi="黑体" w:cs="宋体"/>
          <w:color w:val="000000" w:themeColor="text1"/>
          <w:kern w:val="0"/>
          <w:sz w:val="36"/>
          <w:szCs w:val="36"/>
        </w:rPr>
        <w:t>、交通、邮电和旅游</w:t>
      </w:r>
    </w:p>
    <w:p w:rsidR="00590DD1" w:rsidRPr="00213C3F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年末全</w:t>
      </w:r>
      <w:r w:rsidR="00724A50"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公路通车里程</w:t>
      </w:r>
      <w:r w:rsidR="00C846B9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2108.2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公里，其中高速公路</w:t>
      </w:r>
      <w:r w:rsidR="00C670E2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74.9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公里，与上年末持平。</w:t>
      </w:r>
    </w:p>
    <w:p w:rsidR="00590DD1" w:rsidRPr="00213C3F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全年全</w:t>
      </w:r>
      <w:r w:rsidR="00724A50"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完成</w:t>
      </w:r>
      <w:r w:rsidR="002E4AAB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邮政通讯营业总收入</w:t>
      </w:r>
      <w:r w:rsidR="009A2C78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31684</w:t>
      </w:r>
      <w:r w:rsidR="003F26B6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</w:t>
      </w:r>
      <w:r w:rsidR="003F26B6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降低</w:t>
      </w:r>
      <w:r w:rsidR="009A2C78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4.0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%。其中，邮政</w:t>
      </w:r>
      <w:r w:rsidR="007459C0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营业收入</w:t>
      </w:r>
      <w:r w:rsidR="00C846B9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345.88</w:t>
      </w:r>
      <w:r w:rsidR="003F26B6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="003F26B6"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；</w:t>
      </w:r>
      <w:r w:rsidR="00C846B9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通讯</w:t>
      </w:r>
      <w:r w:rsidR="007459C0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营业收入</w:t>
      </w:r>
      <w:r w:rsidR="009A2C78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31338</w:t>
      </w:r>
      <w:r w:rsidR="003F26B6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元。年末全</w:t>
      </w:r>
      <w:r w:rsidR="00724A50"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固定电话</w:t>
      </w:r>
      <w:r w:rsidR="009A2C78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40384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部，</w:t>
      </w:r>
      <w:r w:rsidR="00D374CF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减少20992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部，</w:t>
      </w:r>
      <w:r w:rsidR="00D374CF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降低34.2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%；</w:t>
      </w:r>
      <w:r w:rsidR="00D374CF"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年末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移动电话用户</w:t>
      </w:r>
      <w:r w:rsidR="00D374CF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达519501</w:t>
      </w:r>
      <w:r w:rsidR="00D374CF"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户</w:t>
      </w:r>
      <w:r w:rsidR="00D374CF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,其中新增移动用户73758户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。移动电话普及率</w:t>
      </w:r>
      <w:r w:rsidR="00D374CF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68.7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部/百人。全</w:t>
      </w:r>
      <w:r w:rsidR="00724A50"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宽带接入用户</w:t>
      </w:r>
      <w:r w:rsidR="00D374CF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97624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户，增长</w:t>
      </w:r>
      <w:r w:rsidR="00D374CF" w:rsidRPr="00213C3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1.6</w:t>
      </w:r>
      <w:r w:rsidRPr="00213C3F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</w:t>
      </w:r>
    </w:p>
    <w:p w:rsidR="00590DD1" w:rsidRPr="00213C3F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center"/>
        <w:rPr>
          <w:rFonts w:ascii="黑体" w:eastAsia="黑体" w:hAnsi="黑体" w:cs="宋体"/>
          <w:color w:val="000000" w:themeColor="text1"/>
          <w:kern w:val="0"/>
          <w:sz w:val="30"/>
          <w:szCs w:val="30"/>
        </w:rPr>
      </w:pPr>
      <w:r w:rsidRPr="00213C3F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图6 201</w:t>
      </w:r>
      <w:r w:rsidR="00D374CF" w:rsidRPr="00213C3F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>2</w:t>
      </w:r>
      <w:r w:rsidRPr="00213C3F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-201</w:t>
      </w:r>
      <w:r w:rsidR="00D374CF" w:rsidRPr="00213C3F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>6</w:t>
      </w:r>
      <w:r w:rsidRPr="00213C3F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固定、移动电话用户数</w:t>
      </w:r>
    </w:p>
    <w:p w:rsidR="00590DD1" w:rsidRPr="00724A50" w:rsidRDefault="00A868D5" w:rsidP="00213C3F">
      <w:pPr>
        <w:widowControl/>
        <w:spacing w:before="100" w:beforeAutospacing="1" w:after="100" w:afterAutospacing="1" w:line="420" w:lineRule="atLeast"/>
        <w:ind w:firstLineChars="200" w:firstLine="600"/>
        <w:jc w:val="center"/>
        <w:rPr>
          <w:rFonts w:asciiTheme="minorEastAsia" w:hAnsiTheme="minorEastAsia" w:cs="宋体"/>
          <w:color w:val="FF0000"/>
          <w:kern w:val="0"/>
          <w:sz w:val="30"/>
          <w:szCs w:val="30"/>
        </w:rPr>
      </w:pPr>
      <w:r>
        <w:rPr>
          <w:rFonts w:asciiTheme="minorEastAsia" w:hAnsiTheme="minorEastAsia" w:cs="宋体"/>
          <w:noProof/>
          <w:color w:val="FF0000"/>
          <w:kern w:val="0"/>
          <w:sz w:val="30"/>
          <w:szCs w:val="30"/>
        </w:rPr>
        <w:drawing>
          <wp:inline distT="0" distB="0" distL="0" distR="0">
            <wp:extent cx="5067300" cy="3076575"/>
            <wp:effectExtent l="0" t="0" r="0" b="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90DD1" w:rsidRPr="009525DB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全年全</w:t>
      </w:r>
      <w:r w:rsidR="00724A50"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接待旅游者</w:t>
      </w:r>
      <w:r w:rsidR="00C846B9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690.22</w:t>
      </w:r>
      <w:r w:rsidR="00400BDA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人次；旅游总收入</w:t>
      </w:r>
      <w:r w:rsidR="00C846B9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58.97</w:t>
      </w:r>
      <w:r w:rsidR="00400BDA"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亿元</w:t>
      </w:r>
      <w:r w:rsidR="00C846B9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,其中门票收入8200万元</w:t>
      </w:r>
      <w:r w:rsidR="00400BDA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。</w:t>
      </w:r>
      <w:r w:rsidR="00400BDA"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 xml:space="preserve"> </w:t>
      </w:r>
    </w:p>
    <w:p w:rsidR="00590DD1" w:rsidRPr="009525DB" w:rsidRDefault="005A04FA" w:rsidP="00213C3F">
      <w:pPr>
        <w:widowControl/>
        <w:spacing w:before="100" w:beforeAutospacing="1" w:after="100" w:afterAutospacing="1" w:line="420" w:lineRule="atLeast"/>
        <w:ind w:firstLineChars="200" w:firstLine="720"/>
        <w:jc w:val="center"/>
        <w:rPr>
          <w:rFonts w:ascii="黑体" w:eastAsia="黑体" w:hAnsi="黑体" w:cs="宋体"/>
          <w:color w:val="000000" w:themeColor="text1"/>
          <w:kern w:val="0"/>
          <w:sz w:val="36"/>
          <w:szCs w:val="36"/>
        </w:rPr>
      </w:pPr>
      <w:r w:rsidRPr="009525DB">
        <w:rPr>
          <w:rFonts w:ascii="黑体" w:eastAsia="黑体" w:hAnsi="黑体" w:cs="宋体" w:hint="eastAsia"/>
          <w:color w:val="000000" w:themeColor="text1"/>
          <w:kern w:val="0"/>
          <w:sz w:val="36"/>
          <w:szCs w:val="36"/>
        </w:rPr>
        <w:lastRenderedPageBreak/>
        <w:t>八</w:t>
      </w:r>
      <w:r w:rsidR="00590DD1" w:rsidRPr="009525DB">
        <w:rPr>
          <w:rFonts w:ascii="黑体" w:eastAsia="黑体" w:hAnsi="黑体" w:cs="宋体"/>
          <w:color w:val="000000" w:themeColor="text1"/>
          <w:kern w:val="0"/>
          <w:sz w:val="36"/>
          <w:szCs w:val="36"/>
        </w:rPr>
        <w:t>、金 融</w:t>
      </w:r>
    </w:p>
    <w:p w:rsidR="00590DD1" w:rsidRPr="009525DB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年末全</w:t>
      </w:r>
      <w:r w:rsidR="00724A50"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金融机构本外币各项存款余额</w:t>
      </w:r>
      <w:r w:rsidR="00B95AA7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2003202</w:t>
      </w:r>
      <w:r w:rsidR="00DC002C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元，比年初增加</w:t>
      </w:r>
      <w:r w:rsidR="00B95AA7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184200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元，比年初增长</w:t>
      </w:r>
      <w:r w:rsidR="00B95AA7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10.1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%。各项贷款余额</w:t>
      </w:r>
      <w:r w:rsidR="00B95AA7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998112</w:t>
      </w:r>
      <w:r w:rsidR="00DC002C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元，比年初增加</w:t>
      </w:r>
      <w:r w:rsidR="00B95AA7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113452</w:t>
      </w:r>
      <w:r w:rsidR="00DC002C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元，增长</w:t>
      </w:r>
      <w:r w:rsidR="00B95AA7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12.8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</w:t>
      </w:r>
    </w:p>
    <w:p w:rsidR="00590DD1" w:rsidRPr="009525DB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center"/>
        <w:rPr>
          <w:rFonts w:ascii="黑体" w:eastAsia="黑体" w:hAnsi="黑体" w:cs="宋体"/>
          <w:color w:val="000000" w:themeColor="text1"/>
          <w:kern w:val="0"/>
          <w:sz w:val="30"/>
          <w:szCs w:val="30"/>
        </w:rPr>
      </w:pPr>
      <w:r w:rsidRPr="009525DB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图7 201</w:t>
      </w:r>
      <w:r w:rsidR="00B95AA7" w:rsidRPr="009525DB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>2</w:t>
      </w:r>
      <w:r w:rsidRPr="009525DB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-201</w:t>
      </w:r>
      <w:r w:rsidR="00B95AA7" w:rsidRPr="009525DB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>6</w:t>
      </w:r>
      <w:r w:rsidRPr="009525DB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年</w:t>
      </w:r>
      <w:r w:rsidR="00B95AA7" w:rsidRPr="009525DB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>住户</w:t>
      </w:r>
      <w:r w:rsidRPr="009525DB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存款余额及其增长速度</w:t>
      </w:r>
    </w:p>
    <w:p w:rsidR="009B483A" w:rsidRDefault="002449AB" w:rsidP="00213C3F">
      <w:pPr>
        <w:widowControl/>
        <w:spacing w:before="100" w:beforeAutospacing="1" w:after="100" w:afterAutospacing="1" w:line="420" w:lineRule="atLeast"/>
        <w:ind w:firstLineChars="200" w:firstLine="600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2449AB">
        <w:rPr>
          <w:rFonts w:asciiTheme="minorEastAsia" w:hAnsiTheme="minorEastAsia" w:cs="宋体" w:hint="eastAsia"/>
          <w:noProof/>
          <w:kern w:val="0"/>
          <w:sz w:val="30"/>
          <w:szCs w:val="30"/>
        </w:rPr>
        <w:drawing>
          <wp:inline distT="0" distB="0" distL="0" distR="0">
            <wp:extent cx="4410075" cy="2162175"/>
            <wp:effectExtent l="0" t="0" r="0" b="0"/>
            <wp:docPr id="8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B483A" w:rsidRPr="00253D85" w:rsidRDefault="009B483A" w:rsidP="00213C3F">
      <w:pPr>
        <w:widowControl/>
        <w:spacing w:before="100" w:beforeAutospacing="1" w:after="100" w:afterAutospacing="1" w:line="180" w:lineRule="atLeast"/>
        <w:ind w:firstLineChars="200" w:firstLine="600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253D85">
        <w:rPr>
          <w:rFonts w:ascii="黑体" w:eastAsia="黑体" w:hAnsi="黑体" w:cs="宋体"/>
          <w:kern w:val="0"/>
          <w:sz w:val="30"/>
          <w:szCs w:val="30"/>
        </w:rPr>
        <w:t>表1</w:t>
      </w:r>
      <w:r w:rsidRPr="00253D85">
        <w:rPr>
          <w:rFonts w:ascii="黑体" w:eastAsia="黑体" w:hAnsi="黑体" w:cs="宋体" w:hint="eastAsia"/>
          <w:kern w:val="0"/>
          <w:sz w:val="30"/>
          <w:szCs w:val="30"/>
        </w:rPr>
        <w:t>0</w:t>
      </w:r>
      <w:r w:rsidRPr="00253D85">
        <w:rPr>
          <w:rFonts w:ascii="黑体" w:eastAsia="黑体" w:hAnsi="黑体" w:cs="宋体"/>
          <w:kern w:val="0"/>
          <w:sz w:val="30"/>
          <w:szCs w:val="30"/>
        </w:rPr>
        <w:t xml:space="preserve"> 201</w:t>
      </w:r>
      <w:r w:rsidR="00B95AA7">
        <w:rPr>
          <w:rFonts w:ascii="黑体" w:eastAsia="黑体" w:hAnsi="黑体" w:cs="宋体" w:hint="eastAsia"/>
          <w:kern w:val="0"/>
          <w:sz w:val="30"/>
          <w:szCs w:val="30"/>
        </w:rPr>
        <w:t>6</w:t>
      </w:r>
      <w:r w:rsidRPr="00253D85">
        <w:rPr>
          <w:rFonts w:ascii="黑体" w:eastAsia="黑体" w:hAnsi="黑体" w:cs="宋体"/>
          <w:kern w:val="0"/>
          <w:sz w:val="30"/>
          <w:szCs w:val="30"/>
        </w:rPr>
        <w:t>年年末金融机构本外币存贷款及其增长速度</w:t>
      </w:r>
    </w:p>
    <w:p w:rsidR="009B483A" w:rsidRPr="00253D85" w:rsidRDefault="009B483A" w:rsidP="00213C3F">
      <w:pPr>
        <w:widowControl/>
        <w:spacing w:before="100" w:beforeAutospacing="1" w:after="100" w:afterAutospacing="1" w:line="180" w:lineRule="atLeast"/>
        <w:ind w:firstLineChars="200" w:firstLine="420"/>
        <w:jc w:val="right"/>
        <w:rPr>
          <w:rFonts w:asciiTheme="minorEastAsia" w:hAnsiTheme="minorEastAsia" w:cs="宋体"/>
          <w:kern w:val="0"/>
          <w:szCs w:val="21"/>
        </w:rPr>
      </w:pPr>
      <w:r w:rsidRPr="00253D85">
        <w:rPr>
          <w:rFonts w:asciiTheme="minorEastAsia" w:hAnsiTheme="minorEastAsia" w:cs="宋体"/>
          <w:kern w:val="0"/>
          <w:szCs w:val="21"/>
        </w:rPr>
        <w:t>单位：</w:t>
      </w:r>
      <w:r w:rsidRPr="00253D85">
        <w:rPr>
          <w:rFonts w:asciiTheme="minorEastAsia" w:hAnsiTheme="minorEastAsia" w:cs="宋体" w:hint="eastAsia"/>
          <w:kern w:val="0"/>
          <w:szCs w:val="21"/>
        </w:rPr>
        <w:t>万</w:t>
      </w:r>
      <w:r w:rsidRPr="00253D85">
        <w:rPr>
          <w:rFonts w:asciiTheme="minorEastAsia" w:hAnsiTheme="minorEastAsia" w:cs="宋体"/>
          <w:kern w:val="0"/>
          <w:szCs w:val="21"/>
        </w:rPr>
        <w:t>元、%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260"/>
        <w:gridCol w:w="2513"/>
        <w:gridCol w:w="2170"/>
      </w:tblGrid>
      <w:tr w:rsidR="009B483A" w:rsidRPr="002449AB" w:rsidTr="009525DB">
        <w:trPr>
          <w:trHeight w:hRule="exact" w:val="510"/>
          <w:tblCellSpacing w:w="0" w:type="dxa"/>
          <w:jc w:val="center"/>
        </w:trPr>
        <w:tc>
          <w:tcPr>
            <w:tcW w:w="3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83A" w:rsidRPr="001C7F06" w:rsidRDefault="009B483A" w:rsidP="00213C3F">
            <w:pPr>
              <w:widowControl/>
              <w:spacing w:before="100" w:beforeAutospacing="1" w:after="100" w:afterAutospacing="1" w:line="330" w:lineRule="atLeast"/>
              <w:ind w:firstLineChars="200" w:firstLine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kern w:val="0"/>
                <w:sz w:val="28"/>
                <w:szCs w:val="28"/>
              </w:rPr>
              <w:t>指 标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83A" w:rsidRPr="001C7F06" w:rsidRDefault="009B483A" w:rsidP="009525DB">
            <w:pPr>
              <w:widowControl/>
              <w:spacing w:before="100" w:beforeAutospacing="1" w:after="100" w:afterAutospacing="1" w:line="330" w:lineRule="atLeast"/>
              <w:ind w:firstLineChars="200" w:firstLine="56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kern w:val="0"/>
                <w:sz w:val="28"/>
                <w:szCs w:val="28"/>
              </w:rPr>
              <w:t>年末数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B483A" w:rsidRPr="001C7F06" w:rsidRDefault="009B483A" w:rsidP="009525D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kern w:val="0"/>
                <w:sz w:val="28"/>
                <w:szCs w:val="28"/>
              </w:rPr>
              <w:t>比年初增长</w:t>
            </w:r>
          </w:p>
        </w:tc>
      </w:tr>
      <w:tr w:rsidR="009B483A" w:rsidRPr="002449AB" w:rsidTr="009525DB">
        <w:trPr>
          <w:trHeight w:hRule="exact" w:val="510"/>
          <w:tblCellSpacing w:w="0" w:type="dxa"/>
          <w:jc w:val="center"/>
        </w:trPr>
        <w:tc>
          <w:tcPr>
            <w:tcW w:w="3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83A" w:rsidRPr="001C7F06" w:rsidRDefault="009B483A" w:rsidP="009525DB">
            <w:pPr>
              <w:widowControl/>
              <w:spacing w:before="100" w:beforeAutospacing="1" w:after="100" w:afterAutospacing="1" w:line="330" w:lineRule="atLeast"/>
              <w:ind w:firstLineChars="1" w:firstLine="3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kern w:val="0"/>
                <w:sz w:val="28"/>
                <w:szCs w:val="28"/>
              </w:rPr>
              <w:t>各项存款余额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83A" w:rsidRPr="009525DB" w:rsidRDefault="00016B5F" w:rsidP="009525DB">
            <w:pPr>
              <w:widowControl/>
              <w:spacing w:before="100" w:beforeAutospacing="1" w:after="100" w:afterAutospacing="1" w:line="330" w:lineRule="atLeast"/>
              <w:ind w:firstLineChars="200" w:firstLine="560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525DB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2003202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B483A" w:rsidRPr="009525DB" w:rsidRDefault="0064429B" w:rsidP="009525DB">
            <w:pPr>
              <w:widowControl/>
              <w:spacing w:before="100" w:beforeAutospacing="1" w:after="100" w:afterAutospacing="1" w:line="330" w:lineRule="atLeast"/>
              <w:ind w:firstLineChars="200" w:firstLine="560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525DB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10.1</w:t>
            </w:r>
          </w:p>
        </w:tc>
      </w:tr>
      <w:tr w:rsidR="009B483A" w:rsidRPr="002449AB" w:rsidTr="009525DB">
        <w:trPr>
          <w:trHeight w:hRule="exact" w:val="510"/>
          <w:tblCellSpacing w:w="0" w:type="dxa"/>
          <w:jc w:val="center"/>
        </w:trPr>
        <w:tc>
          <w:tcPr>
            <w:tcW w:w="3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83A" w:rsidRPr="001C7F06" w:rsidRDefault="009B483A" w:rsidP="009525DB">
            <w:pPr>
              <w:widowControl/>
              <w:spacing w:before="100" w:beforeAutospacing="1" w:after="100" w:afterAutospacing="1" w:line="330" w:lineRule="atLeast"/>
              <w:ind w:firstLineChars="100" w:firstLine="28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kern w:val="0"/>
                <w:sz w:val="28"/>
                <w:szCs w:val="28"/>
              </w:rPr>
              <w:t>其中：</w:t>
            </w:r>
            <w:r w:rsidR="00016B5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广义政府存款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83A" w:rsidRPr="009525DB" w:rsidRDefault="00016B5F" w:rsidP="009525DB">
            <w:pPr>
              <w:widowControl/>
              <w:spacing w:before="100" w:beforeAutospacing="1" w:after="100" w:afterAutospacing="1" w:line="330" w:lineRule="atLeast"/>
              <w:ind w:firstLineChars="200" w:firstLine="560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525DB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195953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B483A" w:rsidRPr="009525DB" w:rsidRDefault="0064429B" w:rsidP="009525DB">
            <w:pPr>
              <w:widowControl/>
              <w:spacing w:before="100" w:beforeAutospacing="1" w:after="100" w:afterAutospacing="1" w:line="330" w:lineRule="atLeast"/>
              <w:ind w:firstLineChars="200" w:firstLine="560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525DB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21.0</w:t>
            </w:r>
          </w:p>
        </w:tc>
      </w:tr>
      <w:tr w:rsidR="009B483A" w:rsidRPr="002449AB" w:rsidTr="009525DB">
        <w:trPr>
          <w:trHeight w:hRule="exact" w:val="510"/>
          <w:tblCellSpacing w:w="0" w:type="dxa"/>
          <w:jc w:val="center"/>
        </w:trPr>
        <w:tc>
          <w:tcPr>
            <w:tcW w:w="3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83A" w:rsidRPr="001C7F06" w:rsidRDefault="00016B5F" w:rsidP="009525DB">
            <w:pPr>
              <w:widowControl/>
              <w:spacing w:before="100" w:beforeAutospacing="1" w:after="100" w:afterAutospacing="1" w:line="330" w:lineRule="atLeast"/>
              <w:ind w:firstLineChars="400" w:firstLine="112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住户存款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83A" w:rsidRPr="009525DB" w:rsidRDefault="00016B5F" w:rsidP="009525DB">
            <w:pPr>
              <w:widowControl/>
              <w:spacing w:before="100" w:beforeAutospacing="1" w:after="100" w:afterAutospacing="1" w:line="330" w:lineRule="atLeast"/>
              <w:ind w:firstLineChars="200" w:firstLine="560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525DB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1609467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B483A" w:rsidRPr="009525DB" w:rsidRDefault="00030E69" w:rsidP="009525DB">
            <w:pPr>
              <w:widowControl/>
              <w:spacing w:before="100" w:beforeAutospacing="1" w:after="100" w:afterAutospacing="1" w:line="330" w:lineRule="atLeast"/>
              <w:ind w:firstLineChars="200" w:firstLine="560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525DB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10.3</w:t>
            </w:r>
          </w:p>
        </w:tc>
      </w:tr>
      <w:tr w:rsidR="009B483A" w:rsidRPr="002449AB" w:rsidTr="009525DB">
        <w:trPr>
          <w:trHeight w:hRule="exact" w:val="510"/>
          <w:tblCellSpacing w:w="0" w:type="dxa"/>
          <w:jc w:val="center"/>
        </w:trPr>
        <w:tc>
          <w:tcPr>
            <w:tcW w:w="3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83A" w:rsidRPr="001C7F06" w:rsidRDefault="009B483A" w:rsidP="009525DB">
            <w:pPr>
              <w:widowControl/>
              <w:spacing w:before="100" w:beforeAutospacing="1" w:after="100" w:afterAutospacing="1" w:line="330" w:lineRule="atLeast"/>
              <w:ind w:firstLineChars="100" w:firstLine="28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kern w:val="0"/>
                <w:sz w:val="28"/>
                <w:szCs w:val="28"/>
              </w:rPr>
              <w:t>其中：人民币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83A" w:rsidRPr="009525DB" w:rsidRDefault="00E20CD4" w:rsidP="009525DB">
            <w:pPr>
              <w:widowControl/>
              <w:spacing w:before="100" w:beforeAutospacing="1" w:after="100" w:afterAutospacing="1" w:line="330" w:lineRule="atLeast"/>
              <w:ind w:firstLineChars="200" w:firstLine="560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525DB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1607920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B483A" w:rsidRPr="009525DB" w:rsidRDefault="00E20CD4" w:rsidP="009525DB">
            <w:pPr>
              <w:widowControl/>
              <w:spacing w:before="100" w:beforeAutospacing="1" w:after="100" w:afterAutospacing="1" w:line="330" w:lineRule="atLeast"/>
              <w:ind w:firstLineChars="200" w:firstLine="560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525DB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10.3</w:t>
            </w:r>
          </w:p>
        </w:tc>
      </w:tr>
      <w:tr w:rsidR="009B483A" w:rsidRPr="002449AB" w:rsidTr="009525DB">
        <w:trPr>
          <w:trHeight w:hRule="exact" w:val="510"/>
          <w:tblCellSpacing w:w="0" w:type="dxa"/>
          <w:jc w:val="center"/>
        </w:trPr>
        <w:tc>
          <w:tcPr>
            <w:tcW w:w="3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83A" w:rsidRPr="001C7F06" w:rsidRDefault="009B483A" w:rsidP="009525DB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kern w:val="0"/>
                <w:sz w:val="28"/>
                <w:szCs w:val="28"/>
              </w:rPr>
              <w:t>各项贷款余额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83A" w:rsidRPr="009525DB" w:rsidRDefault="00030E69" w:rsidP="009525DB">
            <w:pPr>
              <w:widowControl/>
              <w:spacing w:before="100" w:beforeAutospacing="1" w:after="100" w:afterAutospacing="1" w:line="330" w:lineRule="atLeast"/>
              <w:ind w:firstLineChars="200" w:firstLine="560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525DB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998112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B483A" w:rsidRPr="009525DB" w:rsidRDefault="00030E69" w:rsidP="009525DB">
            <w:pPr>
              <w:widowControl/>
              <w:spacing w:before="100" w:beforeAutospacing="1" w:after="100" w:afterAutospacing="1" w:line="330" w:lineRule="atLeast"/>
              <w:ind w:firstLineChars="200" w:firstLine="560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525DB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12.8</w:t>
            </w:r>
          </w:p>
        </w:tc>
      </w:tr>
      <w:tr w:rsidR="009B483A" w:rsidRPr="002449AB" w:rsidTr="009525DB">
        <w:trPr>
          <w:trHeight w:hRule="exact" w:val="510"/>
          <w:tblCellSpacing w:w="0" w:type="dxa"/>
          <w:jc w:val="center"/>
        </w:trPr>
        <w:tc>
          <w:tcPr>
            <w:tcW w:w="3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83A" w:rsidRPr="001C7F06" w:rsidRDefault="009B483A" w:rsidP="009525DB">
            <w:pPr>
              <w:widowControl/>
              <w:spacing w:before="100" w:beforeAutospacing="1" w:after="100" w:afterAutospacing="1" w:line="330" w:lineRule="atLeast"/>
              <w:ind w:firstLineChars="100" w:firstLine="28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kern w:val="0"/>
                <w:sz w:val="28"/>
                <w:szCs w:val="28"/>
              </w:rPr>
              <w:t>其中：短期贷款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83A" w:rsidRPr="009525DB" w:rsidRDefault="00030E69" w:rsidP="009525DB">
            <w:pPr>
              <w:widowControl/>
              <w:spacing w:before="100" w:beforeAutospacing="1" w:after="100" w:afterAutospacing="1" w:line="330" w:lineRule="atLeast"/>
              <w:ind w:firstLineChars="200" w:firstLine="560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525DB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119426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B483A" w:rsidRPr="009525DB" w:rsidRDefault="00030E69" w:rsidP="009525DB">
            <w:pPr>
              <w:widowControl/>
              <w:spacing w:before="100" w:beforeAutospacing="1" w:after="100" w:afterAutospacing="1" w:line="330" w:lineRule="atLeast"/>
              <w:ind w:firstLineChars="200" w:firstLine="560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525DB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18.1</w:t>
            </w:r>
          </w:p>
        </w:tc>
      </w:tr>
      <w:tr w:rsidR="009B483A" w:rsidRPr="002449AB" w:rsidTr="009525DB">
        <w:trPr>
          <w:trHeight w:hRule="exact" w:val="510"/>
          <w:tblCellSpacing w:w="0" w:type="dxa"/>
          <w:jc w:val="center"/>
        </w:trPr>
        <w:tc>
          <w:tcPr>
            <w:tcW w:w="3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83A" w:rsidRPr="001C7F06" w:rsidRDefault="009B483A" w:rsidP="009525DB">
            <w:pPr>
              <w:widowControl/>
              <w:spacing w:before="100" w:beforeAutospacing="1" w:after="100" w:afterAutospacing="1" w:line="330" w:lineRule="atLeast"/>
              <w:ind w:firstLineChars="400" w:firstLine="112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C7F06">
              <w:rPr>
                <w:rFonts w:asciiTheme="minorEastAsia" w:hAnsiTheme="minorEastAsia" w:cs="宋体"/>
                <w:kern w:val="0"/>
                <w:sz w:val="28"/>
                <w:szCs w:val="28"/>
              </w:rPr>
              <w:t>中长期贷款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83A" w:rsidRPr="009525DB" w:rsidRDefault="00030E69" w:rsidP="009525DB">
            <w:pPr>
              <w:widowControl/>
              <w:spacing w:before="100" w:beforeAutospacing="1" w:after="100" w:afterAutospacing="1" w:line="330" w:lineRule="atLeast"/>
              <w:ind w:firstLineChars="200" w:firstLine="560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525DB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165401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B483A" w:rsidRPr="009525DB" w:rsidRDefault="00030E69" w:rsidP="009525DB">
            <w:pPr>
              <w:widowControl/>
              <w:spacing w:before="100" w:beforeAutospacing="1" w:after="100" w:afterAutospacing="1" w:line="330" w:lineRule="atLeast"/>
              <w:ind w:firstLineChars="200" w:firstLine="560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525DB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18.4</w:t>
            </w:r>
          </w:p>
        </w:tc>
      </w:tr>
    </w:tbl>
    <w:p w:rsidR="00590DD1" w:rsidRPr="009525DB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lastRenderedPageBreak/>
        <w:t>年末全</w:t>
      </w:r>
      <w:r w:rsidR="000B384B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县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农村信用社人民币贷款余额</w:t>
      </w:r>
      <w:r w:rsidR="00854AAE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572687</w:t>
      </w:r>
      <w:r w:rsidR="000B384B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元，比年初增加</w:t>
      </w:r>
      <w:r w:rsidR="000B384B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21</w:t>
      </w:r>
      <w:r w:rsidR="00854AAE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535</w:t>
      </w:r>
      <w:r w:rsidR="000B384B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元，增长</w:t>
      </w:r>
      <w:r w:rsidR="00854AAE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3.9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</w:t>
      </w:r>
      <w:r w:rsidR="000B384B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；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人民币存款余额</w:t>
      </w:r>
      <w:r w:rsidR="00854AAE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1046244</w:t>
      </w:r>
      <w:r w:rsidR="000B384B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元，比年初增加</w:t>
      </w:r>
      <w:r w:rsidR="00854AAE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104745</w:t>
      </w:r>
      <w:r w:rsidR="000B384B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元，增长</w:t>
      </w:r>
      <w:r w:rsidR="00854AAE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11.1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</w:t>
      </w:r>
    </w:p>
    <w:p w:rsidR="00590DD1" w:rsidRPr="009525DB" w:rsidRDefault="005A04FA" w:rsidP="00213C3F">
      <w:pPr>
        <w:widowControl/>
        <w:spacing w:before="100" w:beforeAutospacing="1" w:after="100" w:afterAutospacing="1" w:line="420" w:lineRule="atLeast"/>
        <w:ind w:firstLineChars="200" w:firstLine="720"/>
        <w:jc w:val="center"/>
        <w:rPr>
          <w:rFonts w:ascii="黑体" w:eastAsia="黑体" w:hAnsi="黑体" w:cs="宋体"/>
          <w:color w:val="000000" w:themeColor="text1"/>
          <w:kern w:val="0"/>
          <w:sz w:val="36"/>
          <w:szCs w:val="36"/>
        </w:rPr>
      </w:pPr>
      <w:r w:rsidRPr="009525DB">
        <w:rPr>
          <w:rFonts w:ascii="黑体" w:eastAsia="黑体" w:hAnsi="黑体" w:cs="宋体" w:hint="eastAsia"/>
          <w:color w:val="000000" w:themeColor="text1"/>
          <w:kern w:val="0"/>
          <w:sz w:val="36"/>
          <w:szCs w:val="36"/>
        </w:rPr>
        <w:t>九</w:t>
      </w:r>
      <w:r w:rsidR="00590DD1" w:rsidRPr="009525DB">
        <w:rPr>
          <w:rFonts w:ascii="黑体" w:eastAsia="黑体" w:hAnsi="黑体" w:cs="宋体"/>
          <w:color w:val="000000" w:themeColor="text1"/>
          <w:kern w:val="0"/>
          <w:sz w:val="36"/>
          <w:szCs w:val="36"/>
        </w:rPr>
        <w:t>、教育</w:t>
      </w:r>
      <w:r w:rsidR="00A50213" w:rsidRPr="009525DB">
        <w:rPr>
          <w:rFonts w:ascii="黑体" w:eastAsia="黑体" w:hAnsi="黑体" w:cs="宋体" w:hint="eastAsia"/>
          <w:color w:val="000000" w:themeColor="text1"/>
          <w:kern w:val="0"/>
          <w:sz w:val="36"/>
          <w:szCs w:val="36"/>
        </w:rPr>
        <w:t>、文化和卫生</w:t>
      </w:r>
    </w:p>
    <w:p w:rsidR="00590DD1" w:rsidRPr="009525DB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年末全</w:t>
      </w:r>
      <w:r w:rsidR="00724A50"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="00B0560F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各级各类学校</w:t>
      </w:r>
      <w:r w:rsidR="0068176D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422</w:t>
      </w:r>
      <w:r w:rsidR="00B0560F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所，其中幼儿园</w:t>
      </w:r>
      <w:r w:rsidR="0068176D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113</w:t>
      </w:r>
      <w:r w:rsidR="00B0560F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所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。</w:t>
      </w:r>
      <w:r w:rsidR="00B0560F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全县高中阶段毛入学率</w:t>
      </w:r>
      <w:r w:rsidR="00763CD5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8</w:t>
      </w:r>
      <w:r w:rsidR="0068176D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7</w:t>
      </w:r>
      <w:r w:rsidR="00763CD5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.0%，初中阶段学生巩固率达到9</w:t>
      </w:r>
      <w:r w:rsidR="0068176D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8</w:t>
      </w:r>
      <w:r w:rsidR="00763CD5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.</w:t>
      </w:r>
      <w:r w:rsidR="0068176D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</w:t>
      </w:r>
      <w:r w:rsidR="00763CD5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%。6周岁以上学龄儿童入学率100%。农村家庭困难的寄宿制学生</w:t>
      </w:r>
      <w:r w:rsidR="0068176D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31096</w:t>
      </w:r>
      <w:r w:rsidR="00763CD5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人</w:t>
      </w:r>
      <w:r w:rsidR="00A47062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,</w:t>
      </w:r>
      <w:r w:rsidR="00763CD5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得到各级政府提供的生活补贴达</w:t>
      </w:r>
      <w:r w:rsidR="0068176D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7</w:t>
      </w:r>
      <w:r w:rsidR="00763CD5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23.</w:t>
      </w:r>
      <w:r w:rsidR="0068176D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</w:t>
      </w:r>
      <w:r w:rsidR="00763CD5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万元。</w:t>
      </w:r>
    </w:p>
    <w:p w:rsidR="00590DD1" w:rsidRPr="009525DB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center"/>
        <w:rPr>
          <w:rFonts w:ascii="黑体" w:eastAsia="黑体" w:hAnsi="黑体" w:cs="宋体"/>
          <w:color w:val="000000" w:themeColor="text1"/>
          <w:kern w:val="0"/>
          <w:sz w:val="30"/>
          <w:szCs w:val="30"/>
        </w:rPr>
      </w:pPr>
      <w:r w:rsidRPr="009525DB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表1</w:t>
      </w:r>
      <w:r w:rsidR="007A7BCD" w:rsidRPr="009525DB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>1</w:t>
      </w:r>
      <w:r w:rsidRPr="009525DB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 xml:space="preserve"> 201</w:t>
      </w:r>
      <w:r w:rsidR="00A47062" w:rsidRPr="009525DB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>6</w:t>
      </w:r>
      <w:r w:rsidRPr="009525DB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年各类教育发展情况</w:t>
      </w:r>
    </w:p>
    <w:p w:rsidR="00590DD1" w:rsidRPr="009525DB" w:rsidRDefault="00590DD1" w:rsidP="00213C3F">
      <w:pPr>
        <w:widowControl/>
        <w:spacing w:before="100" w:beforeAutospacing="1" w:after="100" w:afterAutospacing="1" w:line="420" w:lineRule="atLeast"/>
        <w:ind w:firstLineChars="200" w:firstLine="420"/>
        <w:jc w:val="righ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9525DB">
        <w:rPr>
          <w:rFonts w:asciiTheme="minorEastAsia" w:hAnsiTheme="minorEastAsia" w:cs="宋体"/>
          <w:color w:val="000000" w:themeColor="text1"/>
          <w:kern w:val="0"/>
          <w:szCs w:val="21"/>
        </w:rPr>
        <w:t>单位：人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745"/>
        <w:gridCol w:w="1530"/>
        <w:gridCol w:w="1725"/>
        <w:gridCol w:w="1515"/>
      </w:tblGrid>
      <w:tr w:rsidR="00590DD1" w:rsidRPr="00A50213" w:rsidTr="001B5F67">
        <w:trPr>
          <w:trHeight w:hRule="exact" w:val="737"/>
          <w:tblCellSpacing w:w="0" w:type="dxa"/>
          <w:jc w:val="center"/>
        </w:trPr>
        <w:tc>
          <w:tcPr>
            <w:tcW w:w="27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A50213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5021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指 标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A50213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5021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招 生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A50213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5021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在校生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A50213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5021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毕业生</w:t>
            </w:r>
          </w:p>
        </w:tc>
      </w:tr>
      <w:tr w:rsidR="00590DD1" w:rsidRPr="00A50213" w:rsidTr="001B5F67">
        <w:trPr>
          <w:trHeight w:hRule="exact" w:val="737"/>
          <w:tblCellSpacing w:w="0" w:type="dxa"/>
          <w:jc w:val="center"/>
        </w:trPr>
        <w:tc>
          <w:tcPr>
            <w:tcW w:w="27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A50213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5021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中等职业教育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A50213" w:rsidRDefault="0068176D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671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A50213" w:rsidRDefault="00195506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50213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19</w:t>
            </w:r>
            <w:r w:rsidR="0068176D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86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A50213" w:rsidRDefault="0068176D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733</w:t>
            </w:r>
          </w:p>
        </w:tc>
      </w:tr>
      <w:tr w:rsidR="00590DD1" w:rsidRPr="00A50213" w:rsidTr="001B5F67">
        <w:trPr>
          <w:trHeight w:hRule="exact" w:val="737"/>
          <w:tblCellSpacing w:w="0" w:type="dxa"/>
          <w:jc w:val="center"/>
        </w:trPr>
        <w:tc>
          <w:tcPr>
            <w:tcW w:w="27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A50213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5021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普通高中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A50213" w:rsidRDefault="00195506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50213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4</w:t>
            </w:r>
            <w:r w:rsidR="0068176D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552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A50213" w:rsidRDefault="00195506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50213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13</w:t>
            </w:r>
            <w:r w:rsidR="0068176D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582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A50213" w:rsidRDefault="0068176D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4504</w:t>
            </w:r>
          </w:p>
        </w:tc>
      </w:tr>
      <w:tr w:rsidR="00590DD1" w:rsidRPr="00A50213" w:rsidTr="001B5F67">
        <w:trPr>
          <w:trHeight w:hRule="exact" w:val="737"/>
          <w:tblCellSpacing w:w="0" w:type="dxa"/>
          <w:jc w:val="center"/>
        </w:trPr>
        <w:tc>
          <w:tcPr>
            <w:tcW w:w="27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A50213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5021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初 中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A50213" w:rsidRDefault="0068176D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7682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A50213" w:rsidRDefault="00195506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50213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22</w:t>
            </w:r>
            <w:r w:rsidR="0068176D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280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A50213" w:rsidRDefault="0068176D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7564</w:t>
            </w:r>
          </w:p>
        </w:tc>
      </w:tr>
      <w:tr w:rsidR="00590DD1" w:rsidRPr="00A50213" w:rsidTr="001B5F67">
        <w:trPr>
          <w:trHeight w:hRule="exact" w:val="737"/>
          <w:tblCellSpacing w:w="0" w:type="dxa"/>
          <w:jc w:val="center"/>
        </w:trPr>
        <w:tc>
          <w:tcPr>
            <w:tcW w:w="27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A50213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5021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小 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A50213" w:rsidRDefault="0068176D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8109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DD1" w:rsidRPr="00A50213" w:rsidRDefault="0068176D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49810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0DD1" w:rsidRPr="00A50213" w:rsidRDefault="00195506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50213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8</w:t>
            </w:r>
            <w:r w:rsidR="00C15E25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316</w:t>
            </w:r>
          </w:p>
        </w:tc>
      </w:tr>
    </w:tbl>
    <w:p w:rsidR="00195506" w:rsidRPr="009525DB" w:rsidRDefault="00195506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年末全县建有文化馆1个，博物馆1个。全县文化系统共有专业和非专业艺术表演团体4家。</w:t>
      </w:r>
      <w:r w:rsidR="00A342FA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全县公共图书馆1个，档案馆1个。广播</w:t>
      </w:r>
      <w:r w:rsidR="00DA5287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电</w:t>
      </w:r>
      <w:r w:rsidR="00A342FA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台1座，电视台1座。年末有线电视用户1</w:t>
      </w:r>
      <w:r w:rsidR="00C15E25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6.0</w:t>
      </w:r>
      <w:r w:rsidR="00A342FA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万户。</w:t>
      </w:r>
    </w:p>
    <w:p w:rsidR="00590DD1" w:rsidRPr="009525DB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lastRenderedPageBreak/>
        <w:t>全</w:t>
      </w:r>
      <w:r w:rsidR="00724A50"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有气象台</w:t>
      </w:r>
      <w:r w:rsidR="00D215C7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(站)27个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。气象系统开展人工影响天气业务的单位1个，防雹、增雨受益覆盖面积</w:t>
      </w:r>
      <w:r w:rsidR="00195506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149</w:t>
      </w:r>
      <w:r w:rsidR="00D215C7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3.6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平方公里。卫星云图接收站1个。</w:t>
      </w:r>
    </w:p>
    <w:p w:rsidR="009B483A" w:rsidRPr="009525DB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年末全</w:t>
      </w:r>
      <w:r w:rsidR="00724A50"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共有卫生机构(含诊所、村卫生室)</w:t>
      </w:r>
      <w:r w:rsidR="00BD1675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9</w:t>
      </w:r>
      <w:r w:rsidR="00C15E25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02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家，其中妇幼保健院（所、站）</w:t>
      </w:r>
      <w:r w:rsidR="00BD1675"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1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家。全</w:t>
      </w:r>
      <w:r w:rsidR="00724A50"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卫生机构共有床位</w:t>
      </w:r>
      <w:r w:rsidR="00C15E25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2177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张，其中医院床位</w:t>
      </w:r>
      <w:r w:rsidR="00C15E25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800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张，卫生院床位</w:t>
      </w:r>
      <w:r w:rsidR="00BD1675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556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张。卫生技术人员</w:t>
      </w:r>
      <w:r w:rsidR="00BD1675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17</w:t>
      </w:r>
      <w:r w:rsidR="00C15E25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31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人。全</w:t>
      </w:r>
      <w:r w:rsidR="00724A50"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="00BD1675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</w:t>
      </w:r>
      <w:r w:rsidR="00C15E25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19964</w:t>
      </w:r>
      <w:r w:rsidR="00BD1675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名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农民参加了合作医疗。</w:t>
      </w:r>
    </w:p>
    <w:p w:rsidR="00590DD1" w:rsidRPr="009525DB" w:rsidRDefault="005A04FA" w:rsidP="00213C3F">
      <w:pPr>
        <w:widowControl/>
        <w:spacing w:before="100" w:beforeAutospacing="1" w:after="100" w:afterAutospacing="1" w:line="420" w:lineRule="atLeast"/>
        <w:ind w:firstLineChars="200" w:firstLine="720"/>
        <w:jc w:val="center"/>
        <w:rPr>
          <w:rFonts w:ascii="黑体" w:eastAsia="黑体" w:hAnsi="黑体" w:cs="宋体"/>
          <w:color w:val="000000" w:themeColor="text1"/>
          <w:kern w:val="0"/>
          <w:sz w:val="36"/>
          <w:szCs w:val="36"/>
        </w:rPr>
      </w:pPr>
      <w:r w:rsidRPr="009525DB">
        <w:rPr>
          <w:rFonts w:ascii="黑体" w:eastAsia="黑体" w:hAnsi="黑体" w:cs="宋体"/>
          <w:color w:val="000000" w:themeColor="text1"/>
          <w:kern w:val="0"/>
          <w:sz w:val="36"/>
          <w:szCs w:val="36"/>
        </w:rPr>
        <w:t>十</w:t>
      </w:r>
      <w:r w:rsidR="00590DD1" w:rsidRPr="009525DB">
        <w:rPr>
          <w:rFonts w:ascii="黑体" w:eastAsia="黑体" w:hAnsi="黑体" w:cs="宋体"/>
          <w:color w:val="000000" w:themeColor="text1"/>
          <w:kern w:val="0"/>
          <w:sz w:val="36"/>
          <w:szCs w:val="36"/>
        </w:rPr>
        <w:t>、人口、人民生活和社会保障</w:t>
      </w:r>
    </w:p>
    <w:p w:rsidR="00590DD1" w:rsidRPr="009525DB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据201</w:t>
      </w:r>
      <w:r w:rsidR="003D4011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年人口抽样调查，年末全</w:t>
      </w:r>
      <w:r w:rsidR="00724A50"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常住人口为</w:t>
      </w:r>
      <w:r w:rsidR="003D4011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756682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人，比上年末增加</w:t>
      </w:r>
      <w:r w:rsidR="003D4011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4670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人。全年全</w:t>
      </w:r>
      <w:r w:rsidR="00724A50"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出生人口</w:t>
      </w:r>
      <w:r w:rsidR="003D4011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7524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人，人口出生率为</w:t>
      </w:r>
      <w:r w:rsidR="003D4011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9.97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‰；死亡人口</w:t>
      </w:r>
      <w:r w:rsidR="003D4011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2854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人，死亡率为</w:t>
      </w:r>
      <w:r w:rsidR="003D4011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3.78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‰；自然增长率为</w:t>
      </w:r>
      <w:r w:rsidR="003D4011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6.19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‰。人口性别比为</w:t>
      </w:r>
      <w:r w:rsidR="003D4011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103.79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。</w:t>
      </w:r>
    </w:p>
    <w:p w:rsidR="00590DD1" w:rsidRPr="009525DB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center"/>
        <w:rPr>
          <w:rFonts w:ascii="黑体" w:eastAsia="黑体" w:hAnsi="黑体" w:cs="宋体"/>
          <w:color w:val="000000" w:themeColor="text1"/>
          <w:kern w:val="0"/>
          <w:sz w:val="30"/>
          <w:szCs w:val="30"/>
        </w:rPr>
      </w:pPr>
      <w:r w:rsidRPr="009525DB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表1</w:t>
      </w:r>
      <w:r w:rsidR="007A7BCD" w:rsidRPr="009525DB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>2</w:t>
      </w:r>
      <w:r w:rsidRPr="009525DB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 xml:space="preserve"> 201</w:t>
      </w:r>
      <w:r w:rsidR="003C79CF" w:rsidRPr="009525DB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>6</w:t>
      </w:r>
      <w:r w:rsidRPr="009525DB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年人口数及其构成</w:t>
      </w:r>
    </w:p>
    <w:p w:rsidR="00590DD1" w:rsidRPr="009525DB" w:rsidRDefault="00590DD1" w:rsidP="00213C3F">
      <w:pPr>
        <w:widowControl/>
        <w:spacing w:before="100" w:beforeAutospacing="1" w:after="100" w:afterAutospacing="1" w:line="420" w:lineRule="atLeast"/>
        <w:ind w:firstLineChars="200" w:firstLine="420"/>
        <w:jc w:val="righ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9525DB">
        <w:rPr>
          <w:rFonts w:asciiTheme="minorEastAsia" w:hAnsiTheme="minorEastAsia" w:cs="宋体"/>
          <w:color w:val="000000" w:themeColor="text1"/>
          <w:kern w:val="0"/>
          <w:szCs w:val="21"/>
        </w:rPr>
        <w:t>单位：人、%</w:t>
      </w:r>
    </w:p>
    <w:tbl>
      <w:tblPr>
        <w:tblW w:w="0" w:type="auto"/>
        <w:jc w:val="center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125"/>
        <w:gridCol w:w="2205"/>
        <w:gridCol w:w="1995"/>
      </w:tblGrid>
      <w:tr w:rsidR="00590DD1" w:rsidRPr="009525DB" w:rsidTr="001B5F67">
        <w:trPr>
          <w:trHeight w:hRule="exact" w:val="713"/>
          <w:jc w:val="center"/>
        </w:trPr>
        <w:tc>
          <w:tcPr>
            <w:tcW w:w="4125" w:type="dxa"/>
            <w:vAlign w:val="center"/>
            <w:hideMark/>
          </w:tcPr>
          <w:p w:rsidR="00590DD1" w:rsidRPr="009525DB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9525DB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指 标</w:t>
            </w:r>
          </w:p>
        </w:tc>
        <w:tc>
          <w:tcPr>
            <w:tcW w:w="2205" w:type="dxa"/>
            <w:vAlign w:val="center"/>
            <w:hideMark/>
          </w:tcPr>
          <w:p w:rsidR="00590DD1" w:rsidRPr="009525DB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9525DB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年末数</w:t>
            </w:r>
          </w:p>
        </w:tc>
        <w:tc>
          <w:tcPr>
            <w:tcW w:w="1995" w:type="dxa"/>
            <w:vAlign w:val="center"/>
            <w:hideMark/>
          </w:tcPr>
          <w:p w:rsidR="00590DD1" w:rsidRPr="009525DB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9525DB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比 重</w:t>
            </w:r>
          </w:p>
        </w:tc>
      </w:tr>
      <w:tr w:rsidR="00590DD1" w:rsidRPr="009525DB" w:rsidTr="001B5F67">
        <w:trPr>
          <w:trHeight w:hRule="exact" w:val="567"/>
          <w:jc w:val="center"/>
        </w:trPr>
        <w:tc>
          <w:tcPr>
            <w:tcW w:w="4125" w:type="dxa"/>
            <w:vAlign w:val="center"/>
            <w:hideMark/>
          </w:tcPr>
          <w:p w:rsidR="00590DD1" w:rsidRPr="009525DB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9525DB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全</w:t>
            </w:r>
            <w:r w:rsidR="00724A50" w:rsidRPr="009525DB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县</w:t>
            </w:r>
            <w:r w:rsidRPr="009525DB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常住人口</w:t>
            </w:r>
          </w:p>
        </w:tc>
        <w:tc>
          <w:tcPr>
            <w:tcW w:w="2205" w:type="dxa"/>
            <w:vAlign w:val="center"/>
            <w:hideMark/>
          </w:tcPr>
          <w:p w:rsidR="00590DD1" w:rsidRPr="009525DB" w:rsidRDefault="003C79CF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9525DB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756682</w:t>
            </w:r>
          </w:p>
        </w:tc>
        <w:tc>
          <w:tcPr>
            <w:tcW w:w="1995" w:type="dxa"/>
            <w:vAlign w:val="center"/>
            <w:hideMark/>
          </w:tcPr>
          <w:p w:rsidR="00590DD1" w:rsidRPr="009525DB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9525DB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—</w:t>
            </w:r>
          </w:p>
        </w:tc>
      </w:tr>
      <w:tr w:rsidR="00590DD1" w:rsidRPr="009525DB" w:rsidTr="001B5F67">
        <w:trPr>
          <w:trHeight w:hRule="exact" w:val="567"/>
          <w:jc w:val="center"/>
        </w:trPr>
        <w:tc>
          <w:tcPr>
            <w:tcW w:w="4125" w:type="dxa"/>
            <w:vAlign w:val="center"/>
            <w:hideMark/>
          </w:tcPr>
          <w:p w:rsidR="00590DD1" w:rsidRPr="009525DB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9525DB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其中：城 镇</w:t>
            </w:r>
          </w:p>
        </w:tc>
        <w:tc>
          <w:tcPr>
            <w:tcW w:w="2205" w:type="dxa"/>
            <w:vAlign w:val="center"/>
            <w:hideMark/>
          </w:tcPr>
          <w:p w:rsidR="00590DD1" w:rsidRPr="009525DB" w:rsidRDefault="003C79CF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9525DB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318629</w:t>
            </w:r>
          </w:p>
        </w:tc>
        <w:tc>
          <w:tcPr>
            <w:tcW w:w="1995" w:type="dxa"/>
            <w:vAlign w:val="center"/>
            <w:hideMark/>
          </w:tcPr>
          <w:p w:rsidR="00590DD1" w:rsidRPr="009525DB" w:rsidRDefault="003C79CF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9525DB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42.1</w:t>
            </w:r>
          </w:p>
        </w:tc>
      </w:tr>
      <w:tr w:rsidR="00590DD1" w:rsidRPr="009525DB" w:rsidTr="001B5F67">
        <w:trPr>
          <w:trHeight w:hRule="exact" w:val="567"/>
          <w:jc w:val="center"/>
        </w:trPr>
        <w:tc>
          <w:tcPr>
            <w:tcW w:w="4125" w:type="dxa"/>
            <w:vAlign w:val="center"/>
            <w:hideMark/>
          </w:tcPr>
          <w:p w:rsidR="00590DD1" w:rsidRPr="009525DB" w:rsidRDefault="00A22DBC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9525DB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 xml:space="preserve">     </w:t>
            </w:r>
            <w:r w:rsidR="00590DD1" w:rsidRPr="009525DB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乡 村</w:t>
            </w:r>
          </w:p>
        </w:tc>
        <w:tc>
          <w:tcPr>
            <w:tcW w:w="2205" w:type="dxa"/>
            <w:vAlign w:val="center"/>
            <w:hideMark/>
          </w:tcPr>
          <w:p w:rsidR="00590DD1" w:rsidRPr="009525DB" w:rsidRDefault="003C79CF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9525DB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438053</w:t>
            </w:r>
          </w:p>
        </w:tc>
        <w:tc>
          <w:tcPr>
            <w:tcW w:w="1995" w:type="dxa"/>
            <w:vAlign w:val="center"/>
            <w:hideMark/>
          </w:tcPr>
          <w:p w:rsidR="00590DD1" w:rsidRPr="009525DB" w:rsidRDefault="003C79CF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9525DB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57.9</w:t>
            </w:r>
          </w:p>
        </w:tc>
      </w:tr>
      <w:tr w:rsidR="00590DD1" w:rsidRPr="009525DB" w:rsidTr="001B5F67">
        <w:trPr>
          <w:trHeight w:hRule="exact" w:val="567"/>
          <w:jc w:val="center"/>
        </w:trPr>
        <w:tc>
          <w:tcPr>
            <w:tcW w:w="4125" w:type="dxa"/>
            <w:vAlign w:val="center"/>
            <w:hideMark/>
          </w:tcPr>
          <w:p w:rsidR="00590DD1" w:rsidRPr="009525DB" w:rsidRDefault="00590DD1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9525DB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其中：男 性</w:t>
            </w:r>
          </w:p>
        </w:tc>
        <w:tc>
          <w:tcPr>
            <w:tcW w:w="2205" w:type="dxa"/>
            <w:vAlign w:val="center"/>
            <w:hideMark/>
          </w:tcPr>
          <w:p w:rsidR="00590DD1" w:rsidRPr="009525DB" w:rsidRDefault="003C79CF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9525DB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385382</w:t>
            </w:r>
          </w:p>
        </w:tc>
        <w:tc>
          <w:tcPr>
            <w:tcW w:w="1995" w:type="dxa"/>
            <w:vAlign w:val="center"/>
            <w:hideMark/>
          </w:tcPr>
          <w:p w:rsidR="00590DD1" w:rsidRPr="009525DB" w:rsidRDefault="003C79CF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9525DB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50.9</w:t>
            </w:r>
          </w:p>
        </w:tc>
      </w:tr>
      <w:tr w:rsidR="00590DD1" w:rsidRPr="009525DB" w:rsidTr="001B5F67">
        <w:trPr>
          <w:trHeight w:hRule="exact" w:val="567"/>
          <w:jc w:val="center"/>
        </w:trPr>
        <w:tc>
          <w:tcPr>
            <w:tcW w:w="4125" w:type="dxa"/>
            <w:vAlign w:val="center"/>
            <w:hideMark/>
          </w:tcPr>
          <w:p w:rsidR="00590DD1" w:rsidRPr="009525DB" w:rsidRDefault="00A22DBC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9525DB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 xml:space="preserve">      </w:t>
            </w:r>
            <w:r w:rsidR="00590DD1" w:rsidRPr="009525DB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女 性</w:t>
            </w:r>
          </w:p>
        </w:tc>
        <w:tc>
          <w:tcPr>
            <w:tcW w:w="2205" w:type="dxa"/>
            <w:vAlign w:val="center"/>
            <w:hideMark/>
          </w:tcPr>
          <w:p w:rsidR="00590DD1" w:rsidRPr="009525DB" w:rsidRDefault="003C79CF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9525DB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371300</w:t>
            </w:r>
          </w:p>
        </w:tc>
        <w:tc>
          <w:tcPr>
            <w:tcW w:w="1995" w:type="dxa"/>
            <w:vAlign w:val="center"/>
            <w:hideMark/>
          </w:tcPr>
          <w:p w:rsidR="00590DD1" w:rsidRPr="009525DB" w:rsidRDefault="003C79CF" w:rsidP="00213C3F">
            <w:pPr>
              <w:widowControl/>
              <w:spacing w:before="100" w:beforeAutospacing="1" w:after="100" w:afterAutospacing="1" w:line="330" w:lineRule="atLeast"/>
              <w:ind w:firstLineChars="200" w:firstLine="60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9525DB">
              <w:rPr>
                <w:rFonts w:ascii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49.1</w:t>
            </w:r>
          </w:p>
        </w:tc>
      </w:tr>
    </w:tbl>
    <w:p w:rsidR="00CA08F2" w:rsidRPr="009525DB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lastRenderedPageBreak/>
        <w:t>全年全</w:t>
      </w:r>
      <w:r w:rsidR="00724A50"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="00BE7D49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城乡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居民人均可支配收入</w:t>
      </w:r>
      <w:r w:rsidR="00BE7D49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15585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元，增长</w:t>
      </w:r>
      <w:r w:rsidR="00BE7D49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5</w:t>
      </w:r>
      <w:r w:rsidR="00807C33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.5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%。按常住地分，全年城镇居民人均可支配收入</w:t>
      </w:r>
      <w:r w:rsidR="00BE7D49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24605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元，比上年增长</w:t>
      </w:r>
      <w:r w:rsidR="00BE7D49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5.4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%；全年农村居民人均可支配收入</w:t>
      </w:r>
      <w:r w:rsidR="00BE7D49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10467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元，增长</w:t>
      </w:r>
      <w:r w:rsidR="00BE7D49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5.5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</w:t>
      </w:r>
      <w:r w:rsidR="00807C33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。全年全县在岗职工</w:t>
      </w:r>
      <w:r w:rsidR="00DA5287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人</w:t>
      </w:r>
      <w:r w:rsidR="00807C33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均工资</w:t>
      </w:r>
      <w:r w:rsidR="00DA5287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总额</w:t>
      </w:r>
      <w:r w:rsidR="00BE7D49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41625</w:t>
      </w:r>
      <w:r w:rsidR="00807C33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元，</w:t>
      </w:r>
      <w:r w:rsidR="00BE7D49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降低</w:t>
      </w:r>
      <w:r w:rsidR="006C1E41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2.7</w:t>
      </w:r>
      <w:r w:rsidR="00807C33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%。</w:t>
      </w:r>
    </w:p>
    <w:p w:rsidR="00590DD1" w:rsidRPr="00253D85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center"/>
        <w:rPr>
          <w:rFonts w:ascii="黑体" w:eastAsia="黑体" w:hAnsi="黑体" w:cs="宋体"/>
          <w:color w:val="000000" w:themeColor="text1"/>
          <w:kern w:val="0"/>
          <w:sz w:val="30"/>
          <w:szCs w:val="30"/>
        </w:rPr>
      </w:pPr>
      <w:r w:rsidRPr="00253D85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图8 201</w:t>
      </w:r>
      <w:r w:rsidR="006C1E41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>2</w:t>
      </w:r>
      <w:r w:rsidRPr="00253D85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-201</w:t>
      </w:r>
      <w:r w:rsidR="006C1E41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>6</w:t>
      </w:r>
      <w:r w:rsidRPr="00253D85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年城镇居民人均可支配收入及其增长速度</w:t>
      </w:r>
    </w:p>
    <w:p w:rsidR="004A686D" w:rsidRPr="004A686D" w:rsidRDefault="004A686D" w:rsidP="00213C3F">
      <w:pPr>
        <w:widowControl/>
        <w:spacing w:before="100" w:beforeAutospacing="1" w:after="100" w:afterAutospacing="1" w:line="420" w:lineRule="atLeast"/>
        <w:ind w:firstLineChars="200" w:firstLine="600"/>
        <w:jc w:val="center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A686D">
        <w:rPr>
          <w:rFonts w:asciiTheme="minorEastAsia" w:hAnsiTheme="minorEastAsia" w:cs="宋体" w:hint="eastAsia"/>
          <w:noProof/>
          <w:color w:val="000000" w:themeColor="text1"/>
          <w:kern w:val="0"/>
          <w:sz w:val="30"/>
          <w:szCs w:val="30"/>
        </w:rPr>
        <w:drawing>
          <wp:inline distT="0" distB="0" distL="0" distR="0">
            <wp:extent cx="4657725" cy="2409825"/>
            <wp:effectExtent l="0" t="0" r="0" b="0"/>
            <wp:docPr id="2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90DD1" w:rsidRPr="00253D85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center"/>
        <w:rPr>
          <w:rFonts w:ascii="黑体" w:eastAsia="黑体" w:hAnsi="黑体" w:cs="宋体"/>
          <w:color w:val="000000" w:themeColor="text1"/>
          <w:kern w:val="0"/>
          <w:sz w:val="30"/>
          <w:szCs w:val="30"/>
        </w:rPr>
      </w:pPr>
      <w:r w:rsidRPr="00253D85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图9 201</w:t>
      </w:r>
      <w:r w:rsidR="006C1E41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>2</w:t>
      </w:r>
      <w:r w:rsidRPr="00253D85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-201</w:t>
      </w:r>
      <w:r w:rsidR="006C1E41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>6</w:t>
      </w:r>
      <w:r w:rsidRPr="00253D85">
        <w:rPr>
          <w:rFonts w:ascii="黑体" w:eastAsia="黑体" w:hAnsi="黑体" w:cs="宋体"/>
          <w:color w:val="000000" w:themeColor="text1"/>
          <w:kern w:val="0"/>
          <w:sz w:val="30"/>
          <w:szCs w:val="30"/>
        </w:rPr>
        <w:t>年农村居民人均可支配收入及其增长速度</w:t>
      </w:r>
    </w:p>
    <w:p w:rsidR="00590DD1" w:rsidRPr="004A686D" w:rsidRDefault="004A686D" w:rsidP="00213C3F">
      <w:pPr>
        <w:widowControl/>
        <w:spacing w:before="100" w:beforeAutospacing="1" w:after="100" w:afterAutospacing="1" w:line="420" w:lineRule="atLeast"/>
        <w:ind w:firstLineChars="200" w:firstLine="600"/>
        <w:jc w:val="center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A686D">
        <w:rPr>
          <w:rFonts w:asciiTheme="minorEastAsia" w:hAnsiTheme="minorEastAsia" w:cs="宋体" w:hint="eastAsia"/>
          <w:noProof/>
          <w:color w:val="000000" w:themeColor="text1"/>
          <w:kern w:val="0"/>
          <w:sz w:val="30"/>
          <w:szCs w:val="30"/>
        </w:rPr>
        <w:drawing>
          <wp:inline distT="0" distB="0" distL="0" distR="0">
            <wp:extent cx="4657725" cy="2133600"/>
            <wp:effectExtent l="0" t="0" r="0" b="0"/>
            <wp:docPr id="10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90DD1" w:rsidRPr="009525DB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年末</w:t>
      </w:r>
      <w:r w:rsidR="00761E81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全县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参加</w:t>
      </w:r>
      <w:r w:rsidR="00137685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城镇</w:t>
      </w:r>
      <w:r w:rsidR="00450CF4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职工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基本养老保险的人数为</w:t>
      </w:r>
      <w:r w:rsidR="00127AE9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35921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人</w:t>
      </w:r>
      <w:r w:rsidR="00137685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，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参加城乡居民社会养老保险参保人数的人数为</w:t>
      </w:r>
      <w:r w:rsidR="00127AE9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438205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人</w:t>
      </w:r>
      <w:r w:rsidR="00137685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。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参加城镇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lastRenderedPageBreak/>
        <w:t>基本医疗保险的人数为</w:t>
      </w:r>
      <w:r w:rsidR="00127AE9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87914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人</w:t>
      </w:r>
      <w:r w:rsidR="00137685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；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参加失业保险的人数为</w:t>
      </w:r>
      <w:r w:rsidR="00137685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22113</w:t>
      </w:r>
      <w:r w:rsidR="00A84396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人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；参加工伤保险的人数为</w:t>
      </w:r>
      <w:r w:rsidR="00137685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44</w:t>
      </w:r>
      <w:r w:rsidR="00127AE9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952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人，其中农民工</w:t>
      </w:r>
      <w:r w:rsidR="00B61F0C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27468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人；参加生育保险的人数为</w:t>
      </w:r>
      <w:r w:rsidR="00137685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23</w:t>
      </w:r>
      <w:r w:rsidR="00127AE9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508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人。</w:t>
      </w:r>
    </w:p>
    <w:p w:rsidR="00590DD1" w:rsidRPr="009525DB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全年全</w:t>
      </w:r>
      <w:r w:rsidR="00724A50"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纳入城</w:t>
      </w:r>
      <w:r w:rsidR="00761E81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市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最低生活保障的居民</w:t>
      </w:r>
      <w:r w:rsidR="00B61F0C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6669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人，发放城</w:t>
      </w:r>
      <w:r w:rsidR="00761E81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市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低保资金</w:t>
      </w:r>
      <w:r w:rsidR="00B61F0C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2739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万元，比上年减少</w:t>
      </w:r>
      <w:r w:rsidR="00B61F0C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385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万元；纳入农村最低生活保障的居民</w:t>
      </w:r>
      <w:r w:rsidR="00B61F0C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13754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人，发放农村低保资金</w:t>
      </w:r>
      <w:r w:rsidR="00B61F0C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3699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万元。</w:t>
      </w:r>
    </w:p>
    <w:p w:rsidR="00590DD1" w:rsidRPr="009525DB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年末全</w:t>
      </w:r>
      <w:r w:rsidR="00724A50"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="00743D7B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提供住宿的社会服务机构床位数</w:t>
      </w:r>
      <w:r w:rsidR="00127AE9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400</w:t>
      </w:r>
      <w:r w:rsidR="00743D7B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张。全年全县救助人数共</w:t>
      </w:r>
      <w:r w:rsidR="00B61F0C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54686</w:t>
      </w:r>
      <w:r w:rsidR="00743D7B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人</w:t>
      </w:r>
      <w:r w:rsidR="00B61F0C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次</w:t>
      </w:r>
      <w:r w:rsidR="00743D7B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，其中城市低保</w:t>
      </w:r>
      <w:r w:rsidR="00127AE9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6669</w:t>
      </w:r>
      <w:r w:rsidR="00743D7B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人，农村低保1</w:t>
      </w:r>
      <w:r w:rsidR="00127AE9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3754</w:t>
      </w:r>
      <w:r w:rsidR="00743D7B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人，农村五保</w:t>
      </w:r>
      <w:r w:rsidR="00127AE9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1725</w:t>
      </w:r>
      <w:r w:rsidR="00743D7B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人，城乡医疗救助</w:t>
      </w:r>
      <w:r w:rsidR="00127AE9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24015</w:t>
      </w:r>
      <w:r w:rsidR="00743D7B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人</w:t>
      </w:r>
      <w:r w:rsidR="00127AE9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次</w:t>
      </w:r>
      <w:r w:rsidR="00743D7B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，流浪乞讨救助</w:t>
      </w:r>
      <w:r w:rsidR="00127AE9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382</w:t>
      </w:r>
      <w:r w:rsidR="00743D7B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人</w:t>
      </w:r>
      <w:r w:rsidR="00127AE9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次</w:t>
      </w:r>
      <w:r w:rsidR="00743D7B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，优抚医疗救助</w:t>
      </w:r>
      <w:r w:rsidR="00127AE9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1734</w:t>
      </w:r>
      <w:r w:rsidR="00743D7B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人</w:t>
      </w:r>
      <w:r w:rsidR="00127AE9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次</w:t>
      </w:r>
      <w:r w:rsidR="00743D7B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，临时救济</w:t>
      </w:r>
      <w:r w:rsidR="00127AE9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6407</w:t>
      </w:r>
      <w:r w:rsidR="00743D7B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人</w:t>
      </w:r>
      <w:r w:rsidR="00127AE9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次</w:t>
      </w:r>
      <w:r w:rsidR="00743D7B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。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全年销售社会福利彩票</w:t>
      </w:r>
      <w:r w:rsidR="00127AE9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5002</w:t>
      </w:r>
      <w:r w:rsidR="00743D7B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</w:t>
      </w:r>
      <w:r w:rsidR="00743D7B"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元</w:t>
      </w:r>
      <w:r w:rsidR="00743D7B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。</w:t>
      </w:r>
      <w:r w:rsidR="00743D7B"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 xml:space="preserve"> </w:t>
      </w:r>
    </w:p>
    <w:p w:rsidR="00590DD1" w:rsidRPr="009525DB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年末</w:t>
      </w:r>
      <w:r w:rsidR="00724A50"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="00124862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城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建成区面积</w:t>
      </w:r>
      <w:r w:rsidR="00124862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14.6</w:t>
      </w:r>
      <w:r w:rsidR="00761A27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平方公里；建成区绿化覆盖面积为</w:t>
      </w:r>
      <w:r w:rsidR="0068176D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668.07</w:t>
      </w:r>
      <w:r w:rsidR="00761A27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 xml:space="preserve">万平方米， 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绿化覆盖率达到</w:t>
      </w:r>
      <w:r w:rsidR="00761A27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4</w:t>
      </w:r>
      <w:r w:rsidR="0068176D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5.75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</w:t>
      </w:r>
      <w:r w:rsidR="00761A27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；绿地面积为6</w:t>
      </w:r>
      <w:r w:rsidR="0068176D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46.16</w:t>
      </w:r>
      <w:r w:rsidR="00761A27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万平方米，绿地率达</w:t>
      </w:r>
      <w:r w:rsidR="0068176D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44.25</w:t>
      </w:r>
      <w:r w:rsidR="00761A27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%；公园绿地面积为</w:t>
      </w:r>
      <w:r w:rsidR="0068176D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157.76</w:t>
      </w:r>
      <w:r w:rsidR="00761A27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万平方米，人均公园面积11.</w:t>
      </w:r>
      <w:r w:rsidR="0068176D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</w:t>
      </w:r>
      <w:r w:rsidR="00761A27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平方米。</w:t>
      </w:r>
    </w:p>
    <w:p w:rsidR="00590DD1" w:rsidRPr="009525DB" w:rsidRDefault="00590DD1" w:rsidP="00213C3F">
      <w:pPr>
        <w:widowControl/>
        <w:spacing w:before="100" w:beforeAutospacing="1" w:after="100" w:afterAutospacing="1" w:line="420" w:lineRule="atLeast"/>
        <w:ind w:firstLineChars="200" w:firstLine="720"/>
        <w:jc w:val="center"/>
        <w:rPr>
          <w:rFonts w:ascii="黑体" w:eastAsia="黑体" w:hAnsi="黑体" w:cs="宋体"/>
          <w:color w:val="000000" w:themeColor="text1"/>
          <w:kern w:val="0"/>
          <w:sz w:val="36"/>
          <w:szCs w:val="36"/>
        </w:rPr>
      </w:pPr>
      <w:r w:rsidRPr="009525DB">
        <w:rPr>
          <w:rFonts w:ascii="黑体" w:eastAsia="黑体" w:hAnsi="黑体" w:cs="宋体"/>
          <w:color w:val="000000" w:themeColor="text1"/>
          <w:kern w:val="0"/>
          <w:sz w:val="36"/>
          <w:szCs w:val="36"/>
        </w:rPr>
        <w:t>十</w:t>
      </w:r>
      <w:r w:rsidR="005A04FA" w:rsidRPr="009525DB">
        <w:rPr>
          <w:rFonts w:ascii="黑体" w:eastAsia="黑体" w:hAnsi="黑体" w:cs="宋体" w:hint="eastAsia"/>
          <w:color w:val="000000" w:themeColor="text1"/>
          <w:kern w:val="0"/>
          <w:sz w:val="36"/>
          <w:szCs w:val="36"/>
        </w:rPr>
        <w:t>一</w:t>
      </w:r>
      <w:r w:rsidRPr="009525DB">
        <w:rPr>
          <w:rFonts w:ascii="黑体" w:eastAsia="黑体" w:hAnsi="黑体" w:cs="宋体"/>
          <w:color w:val="000000" w:themeColor="text1"/>
          <w:kern w:val="0"/>
          <w:sz w:val="36"/>
          <w:szCs w:val="36"/>
        </w:rPr>
        <w:t>、资源</w:t>
      </w:r>
      <w:r w:rsidR="00253D85" w:rsidRPr="009525DB">
        <w:rPr>
          <w:rFonts w:ascii="黑体" w:eastAsia="黑体" w:hAnsi="黑体" w:cs="宋体" w:hint="eastAsia"/>
          <w:color w:val="000000" w:themeColor="text1"/>
          <w:kern w:val="0"/>
          <w:sz w:val="36"/>
          <w:szCs w:val="36"/>
        </w:rPr>
        <w:t>和</w:t>
      </w:r>
      <w:r w:rsidRPr="009525DB">
        <w:rPr>
          <w:rFonts w:ascii="黑体" w:eastAsia="黑体" w:hAnsi="黑体" w:cs="宋体"/>
          <w:color w:val="000000" w:themeColor="text1"/>
          <w:kern w:val="0"/>
          <w:sz w:val="36"/>
          <w:szCs w:val="36"/>
        </w:rPr>
        <w:t>环境</w:t>
      </w:r>
    </w:p>
    <w:p w:rsidR="00590DD1" w:rsidRPr="009525DB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年末耕地保有量</w:t>
      </w:r>
      <w:r w:rsidR="0051470E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105.41万亩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。</w:t>
      </w:r>
      <w:r w:rsidR="001E563E"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年末全县森林面积</w:t>
      </w:r>
      <w:r w:rsidR="00941E11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34.98</w:t>
      </w:r>
      <w:r w:rsidR="001E563E"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万亩，森林覆盖率</w:t>
      </w:r>
      <w:r w:rsidR="00941E11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15.6</w:t>
      </w:r>
      <w:r w:rsidR="001E563E"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</w:t>
      </w:r>
      <w:r w:rsidR="001E563E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。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全</w:t>
      </w:r>
      <w:r w:rsidR="00724A50"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年降水量</w:t>
      </w:r>
      <w:r w:rsidR="00D215C7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504.6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毫米，比上年</w:t>
      </w:r>
      <w:r w:rsidR="00D215C7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增加185.6</w:t>
      </w:r>
      <w:r w:rsidR="00A3651B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毫米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。</w:t>
      </w:r>
    </w:p>
    <w:p w:rsidR="00590DD1" w:rsidRPr="009525DB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lastRenderedPageBreak/>
        <w:t>按《环境空气质量指数（AQI）技术规定（试行）（HJ633-2012）》评价，201</w:t>
      </w:r>
      <w:r w:rsidR="00C15E25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年</w:t>
      </w:r>
      <w:r w:rsidR="00724A50"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区空气质量好于二级以上天数</w:t>
      </w:r>
      <w:r w:rsidR="00C15E25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283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天，同比</w:t>
      </w:r>
      <w:r w:rsidR="00CE6E89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减少</w:t>
      </w:r>
      <w:r w:rsidR="00C15E25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46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天，其中一级天数达到</w:t>
      </w:r>
      <w:r w:rsidR="00C15E25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55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天，同比</w:t>
      </w:r>
      <w:r w:rsidR="00C15E25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减少38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天。</w:t>
      </w:r>
      <w:r w:rsidR="00CE6E89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PM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10浓度均值为0.08</w:t>
      </w:r>
      <w:r w:rsidR="00C15E25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8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毫克/</w:t>
      </w:r>
      <w:r w:rsidR="00CE6E89"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立方米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。</w:t>
      </w:r>
    </w:p>
    <w:p w:rsidR="00590DD1" w:rsidRPr="009525DB" w:rsidRDefault="00590DD1" w:rsidP="00213C3F">
      <w:pPr>
        <w:widowControl/>
        <w:spacing w:before="100" w:beforeAutospacing="1" w:after="100" w:afterAutospacing="1" w:line="420" w:lineRule="atLeast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年末全</w:t>
      </w:r>
      <w:r w:rsidR="00724A50"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城</w:t>
      </w:r>
      <w:r w:rsidR="00724A50"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污水处理率</w:t>
      </w:r>
      <w:r w:rsidR="00B16EC1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9</w:t>
      </w:r>
      <w:r w:rsidR="006F1FCB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</w:t>
      </w:r>
      <w:r w:rsidR="00B16EC1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.0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%，</w:t>
      </w:r>
      <w:r w:rsidR="006F1FCB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比</w:t>
      </w:r>
      <w:r w:rsidR="00B16EC1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上年</w:t>
      </w:r>
      <w:r w:rsidR="006F1FCB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提高1%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；</w:t>
      </w:r>
      <w:r w:rsidR="00724A50"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区城</w:t>
      </w:r>
      <w:r w:rsidR="00724A50"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生活垃圾无害化处理率连续</w:t>
      </w:r>
      <w:r w:rsidR="006F1FCB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五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年达到100%。全</w:t>
      </w:r>
      <w:r w:rsidR="00724A50"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县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集中供热普及率</w:t>
      </w:r>
      <w:r w:rsidR="0091146B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9</w:t>
      </w:r>
      <w:r w:rsidR="006F1FCB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0</w:t>
      </w:r>
      <w:r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%。</w:t>
      </w:r>
      <w:r w:rsidR="00DA5287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201</w:t>
      </w:r>
      <w:r w:rsidR="00B043A9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</w:t>
      </w:r>
      <w:r w:rsidR="00DA5287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年</w:t>
      </w:r>
      <w:r w:rsidR="00CE6E89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年末</w:t>
      </w:r>
      <w:r w:rsidR="00854AAE" w:rsidRPr="009525DB"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  <w:t>天然气</w:t>
      </w:r>
      <w:r w:rsidR="00CE6E89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用户达</w:t>
      </w:r>
      <w:r w:rsidR="006F1FCB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39833</w:t>
      </w:r>
      <w:r w:rsidR="00CE6E89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户，其中民用用户</w:t>
      </w:r>
      <w:r w:rsidR="006F1FCB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39202</w:t>
      </w:r>
      <w:r w:rsidR="00CE6E89" w:rsidRPr="009525D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户。</w:t>
      </w:r>
    </w:p>
    <w:p w:rsidR="00590DD1" w:rsidRPr="009525DB" w:rsidRDefault="00590DD1" w:rsidP="00213C3F">
      <w:pPr>
        <w:widowControl/>
        <w:spacing w:before="100" w:beforeAutospacing="1" w:after="100" w:afterAutospacing="1" w:line="42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9525DB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公报注释 ：</w:t>
      </w:r>
    </w:p>
    <w:p w:rsidR="00590DD1" w:rsidRPr="009525DB" w:rsidRDefault="00590DD1" w:rsidP="00213C3F">
      <w:pPr>
        <w:widowControl/>
        <w:spacing w:line="360" w:lineRule="auto"/>
        <w:ind w:firstLineChars="200" w:firstLine="480"/>
        <w:jc w:val="left"/>
        <w:rPr>
          <w:rFonts w:ascii="楷体" w:eastAsia="楷体" w:hAnsi="楷体" w:cs="宋体"/>
          <w:color w:val="000000" w:themeColor="text1"/>
          <w:kern w:val="0"/>
          <w:sz w:val="24"/>
          <w:szCs w:val="24"/>
        </w:rPr>
      </w:pPr>
      <w:r w:rsidRPr="009525DB">
        <w:rPr>
          <w:rFonts w:ascii="楷体" w:eastAsia="楷体" w:hAnsi="楷体" w:cs="宋体"/>
          <w:color w:val="000000" w:themeColor="text1"/>
          <w:kern w:val="0"/>
          <w:sz w:val="24"/>
          <w:szCs w:val="24"/>
        </w:rPr>
        <w:t>1.本公报部分数据为初步统计数据。</w:t>
      </w:r>
    </w:p>
    <w:p w:rsidR="00590DD1" w:rsidRPr="009525DB" w:rsidRDefault="00590DD1" w:rsidP="00213C3F">
      <w:pPr>
        <w:widowControl/>
        <w:spacing w:line="360" w:lineRule="auto"/>
        <w:ind w:firstLineChars="200" w:firstLine="480"/>
        <w:jc w:val="left"/>
        <w:rPr>
          <w:rFonts w:ascii="楷体" w:eastAsia="楷体" w:hAnsi="楷体" w:cs="宋体"/>
          <w:color w:val="000000" w:themeColor="text1"/>
          <w:kern w:val="0"/>
          <w:sz w:val="24"/>
          <w:szCs w:val="24"/>
        </w:rPr>
      </w:pPr>
      <w:r w:rsidRPr="009525DB">
        <w:rPr>
          <w:rFonts w:ascii="楷体" w:eastAsia="楷体" w:hAnsi="楷体" w:cs="宋体"/>
          <w:color w:val="000000" w:themeColor="text1"/>
          <w:kern w:val="0"/>
          <w:sz w:val="24"/>
          <w:szCs w:val="24"/>
        </w:rPr>
        <w:t>2.地区生产总值、各产业增加值绝对数按现价计算，增长速度按不变价格计算。</w:t>
      </w:r>
    </w:p>
    <w:p w:rsidR="00590DD1" w:rsidRPr="009525DB" w:rsidRDefault="00590DD1" w:rsidP="00213C3F">
      <w:pPr>
        <w:widowControl/>
        <w:spacing w:line="360" w:lineRule="auto"/>
        <w:ind w:firstLineChars="200" w:firstLine="480"/>
        <w:jc w:val="left"/>
        <w:rPr>
          <w:rFonts w:ascii="楷体" w:eastAsia="楷体" w:hAnsi="楷体" w:cs="宋体"/>
          <w:color w:val="000000" w:themeColor="text1"/>
          <w:kern w:val="0"/>
          <w:sz w:val="24"/>
          <w:szCs w:val="24"/>
        </w:rPr>
      </w:pPr>
      <w:r w:rsidRPr="009525DB">
        <w:rPr>
          <w:rFonts w:ascii="楷体" w:eastAsia="楷体" w:hAnsi="楷体" w:cs="宋体"/>
          <w:color w:val="000000" w:themeColor="text1"/>
          <w:kern w:val="0"/>
          <w:sz w:val="24"/>
          <w:szCs w:val="24"/>
        </w:rPr>
        <w:t>3.所有增长或下降速度均为同上年相比较。</w:t>
      </w:r>
    </w:p>
    <w:p w:rsidR="00590DD1" w:rsidRPr="009525DB" w:rsidRDefault="00590DD1" w:rsidP="00213C3F">
      <w:pPr>
        <w:widowControl/>
        <w:spacing w:line="360" w:lineRule="auto"/>
        <w:ind w:firstLineChars="200" w:firstLine="480"/>
        <w:jc w:val="left"/>
        <w:rPr>
          <w:rFonts w:ascii="楷体" w:eastAsia="楷体" w:hAnsi="楷体" w:cs="宋体"/>
          <w:color w:val="000000" w:themeColor="text1"/>
          <w:kern w:val="0"/>
          <w:sz w:val="24"/>
          <w:szCs w:val="24"/>
        </w:rPr>
      </w:pPr>
      <w:r w:rsidRPr="009525DB">
        <w:rPr>
          <w:rFonts w:ascii="楷体" w:eastAsia="楷体" w:hAnsi="楷体" w:cs="宋体"/>
          <w:color w:val="000000" w:themeColor="text1"/>
          <w:kern w:val="0"/>
          <w:sz w:val="24"/>
          <w:szCs w:val="24"/>
        </w:rPr>
        <w:t>4.部分数据因四舍五入的原因，存在与分项合计不等的情况。</w:t>
      </w:r>
    </w:p>
    <w:p w:rsidR="00590DD1" w:rsidRPr="009525DB" w:rsidRDefault="00590DD1" w:rsidP="00213C3F">
      <w:pPr>
        <w:widowControl/>
        <w:spacing w:line="360" w:lineRule="auto"/>
        <w:ind w:firstLineChars="200" w:firstLine="480"/>
        <w:jc w:val="left"/>
        <w:rPr>
          <w:rFonts w:ascii="楷体" w:eastAsia="楷体" w:hAnsi="楷体" w:cs="宋体"/>
          <w:color w:val="000000" w:themeColor="text1"/>
          <w:kern w:val="0"/>
          <w:sz w:val="24"/>
          <w:szCs w:val="24"/>
        </w:rPr>
      </w:pPr>
      <w:r w:rsidRPr="009525DB">
        <w:rPr>
          <w:rFonts w:ascii="楷体" w:eastAsia="楷体" w:hAnsi="楷体" w:cs="宋体"/>
          <w:color w:val="000000" w:themeColor="text1"/>
          <w:kern w:val="0"/>
          <w:sz w:val="24"/>
          <w:szCs w:val="24"/>
        </w:rPr>
        <w:t>5.节能降耗指标单独发布。</w:t>
      </w:r>
    </w:p>
    <w:p w:rsidR="00590DD1" w:rsidRPr="009525DB" w:rsidRDefault="00590DD1" w:rsidP="00213C3F">
      <w:pPr>
        <w:widowControl/>
        <w:spacing w:line="360" w:lineRule="auto"/>
        <w:ind w:firstLineChars="200" w:firstLine="480"/>
        <w:jc w:val="left"/>
        <w:rPr>
          <w:rFonts w:ascii="楷体" w:eastAsia="楷体" w:hAnsi="楷体" w:cs="宋体"/>
          <w:color w:val="000000" w:themeColor="text1"/>
          <w:kern w:val="0"/>
          <w:sz w:val="24"/>
          <w:szCs w:val="24"/>
        </w:rPr>
      </w:pPr>
      <w:r w:rsidRPr="009525DB">
        <w:rPr>
          <w:rFonts w:ascii="楷体" w:eastAsia="楷体" w:hAnsi="楷体" w:cs="宋体"/>
          <w:color w:val="000000" w:themeColor="text1"/>
          <w:kern w:val="0"/>
          <w:sz w:val="24"/>
          <w:szCs w:val="24"/>
        </w:rPr>
        <w:t>6.2012年四季度，国家统计局实施了城乡一体化住户调查改革。原有指标“农村居民人均纯收入”变更为 “农村居民人均可支配收入”。增加了“居民人均可支配收入”。</w:t>
      </w:r>
    </w:p>
    <w:p w:rsidR="00253D85" w:rsidRPr="009525DB" w:rsidRDefault="00253D85" w:rsidP="00213C3F">
      <w:pPr>
        <w:widowControl/>
        <w:spacing w:line="360" w:lineRule="auto"/>
        <w:ind w:firstLineChars="200" w:firstLine="480"/>
        <w:jc w:val="left"/>
        <w:rPr>
          <w:rFonts w:ascii="楷体" w:eastAsia="楷体" w:hAnsi="楷体" w:cs="宋体"/>
          <w:color w:val="000000" w:themeColor="text1"/>
          <w:kern w:val="0"/>
          <w:sz w:val="24"/>
          <w:szCs w:val="24"/>
        </w:rPr>
      </w:pPr>
      <w:r w:rsidRPr="009525DB"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7.部门数据由行业管理部门提供。</w:t>
      </w:r>
    </w:p>
    <w:p w:rsidR="00724A50" w:rsidRPr="009525DB" w:rsidRDefault="00724A50" w:rsidP="00213C3F">
      <w:pPr>
        <w:ind w:firstLineChars="200" w:firstLine="420"/>
        <w:rPr>
          <w:rFonts w:ascii="楷体" w:eastAsia="楷体" w:hAnsi="楷体"/>
          <w:color w:val="000000" w:themeColor="text1"/>
        </w:rPr>
      </w:pPr>
    </w:p>
    <w:sectPr w:rsidR="00724A50" w:rsidRPr="009525DB" w:rsidSect="006F1E69">
      <w:footerReference w:type="default" r:id="rId17"/>
      <w:pgSz w:w="11906" w:h="16838"/>
      <w:pgMar w:top="1440" w:right="18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364" w:rsidRDefault="00E12364" w:rsidP="00A27AE9">
      <w:r>
        <w:separator/>
      </w:r>
    </w:p>
  </w:endnote>
  <w:endnote w:type="continuationSeparator" w:id="1">
    <w:p w:rsidR="00E12364" w:rsidRDefault="00E12364" w:rsidP="00A27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2991"/>
      <w:docPartObj>
        <w:docPartGallery w:val="Page Numbers (Bottom of Page)"/>
        <w:docPartUnique/>
      </w:docPartObj>
    </w:sdtPr>
    <w:sdtContent>
      <w:p w:rsidR="00AF7E93" w:rsidRDefault="00C76EF8">
        <w:pPr>
          <w:pStyle w:val="a8"/>
          <w:jc w:val="center"/>
        </w:pPr>
        <w:fldSimple w:instr=" PAGE   \* MERGEFORMAT ">
          <w:r w:rsidR="00E128C9" w:rsidRPr="00E128C9">
            <w:rPr>
              <w:noProof/>
              <w:lang w:val="zh-CN"/>
            </w:rPr>
            <w:t>14</w:t>
          </w:r>
        </w:fldSimple>
      </w:p>
    </w:sdtContent>
  </w:sdt>
  <w:p w:rsidR="00AF7E93" w:rsidRDefault="00AF7E9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364" w:rsidRDefault="00E12364" w:rsidP="00A27AE9">
      <w:r>
        <w:separator/>
      </w:r>
    </w:p>
  </w:footnote>
  <w:footnote w:type="continuationSeparator" w:id="1">
    <w:p w:rsidR="00E12364" w:rsidRDefault="00E12364" w:rsidP="00A27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94763"/>
    <w:multiLevelType w:val="hybridMultilevel"/>
    <w:tmpl w:val="793A2ED4"/>
    <w:lvl w:ilvl="0" w:tplc="0AD047B0"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Formatting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DD1"/>
    <w:rsid w:val="000019A7"/>
    <w:rsid w:val="00014330"/>
    <w:rsid w:val="00016B5F"/>
    <w:rsid w:val="00024BE6"/>
    <w:rsid w:val="00026610"/>
    <w:rsid w:val="0003064F"/>
    <w:rsid w:val="00030E69"/>
    <w:rsid w:val="00032666"/>
    <w:rsid w:val="00032EAF"/>
    <w:rsid w:val="00034992"/>
    <w:rsid w:val="00045E7C"/>
    <w:rsid w:val="000627B5"/>
    <w:rsid w:val="0006519B"/>
    <w:rsid w:val="000725BA"/>
    <w:rsid w:val="00076FD0"/>
    <w:rsid w:val="000819AB"/>
    <w:rsid w:val="00091CB2"/>
    <w:rsid w:val="000B384B"/>
    <w:rsid w:val="000B3FA6"/>
    <w:rsid w:val="000B58A1"/>
    <w:rsid w:val="000C6005"/>
    <w:rsid w:val="000E2887"/>
    <w:rsid w:val="000F0FDF"/>
    <w:rsid w:val="000F6CC5"/>
    <w:rsid w:val="001073F8"/>
    <w:rsid w:val="00110C28"/>
    <w:rsid w:val="00124862"/>
    <w:rsid w:val="00127AE9"/>
    <w:rsid w:val="00137685"/>
    <w:rsid w:val="001455AA"/>
    <w:rsid w:val="00150BEE"/>
    <w:rsid w:val="00153E28"/>
    <w:rsid w:val="00160219"/>
    <w:rsid w:val="001673D9"/>
    <w:rsid w:val="00184139"/>
    <w:rsid w:val="00193180"/>
    <w:rsid w:val="00195506"/>
    <w:rsid w:val="00197147"/>
    <w:rsid w:val="001A1043"/>
    <w:rsid w:val="001B5F67"/>
    <w:rsid w:val="001C1C7F"/>
    <w:rsid w:val="001C36A2"/>
    <w:rsid w:val="001C7F06"/>
    <w:rsid w:val="001D7D77"/>
    <w:rsid w:val="001E563E"/>
    <w:rsid w:val="00201389"/>
    <w:rsid w:val="00203AA1"/>
    <w:rsid w:val="00213C3F"/>
    <w:rsid w:val="002170A8"/>
    <w:rsid w:val="0021781A"/>
    <w:rsid w:val="002449AB"/>
    <w:rsid w:val="002455AA"/>
    <w:rsid w:val="002461CC"/>
    <w:rsid w:val="002472AF"/>
    <w:rsid w:val="002535F7"/>
    <w:rsid w:val="00253D85"/>
    <w:rsid w:val="0025664F"/>
    <w:rsid w:val="002716BB"/>
    <w:rsid w:val="00272A19"/>
    <w:rsid w:val="00275E0D"/>
    <w:rsid w:val="0028434C"/>
    <w:rsid w:val="002B3782"/>
    <w:rsid w:val="002C4A04"/>
    <w:rsid w:val="002C4DCE"/>
    <w:rsid w:val="002C72A1"/>
    <w:rsid w:val="002D21C1"/>
    <w:rsid w:val="002D4AD9"/>
    <w:rsid w:val="002E4AAB"/>
    <w:rsid w:val="00300B56"/>
    <w:rsid w:val="00304F2C"/>
    <w:rsid w:val="0030735D"/>
    <w:rsid w:val="003108BB"/>
    <w:rsid w:val="0031628A"/>
    <w:rsid w:val="00317C35"/>
    <w:rsid w:val="003333C2"/>
    <w:rsid w:val="00333807"/>
    <w:rsid w:val="00343B3E"/>
    <w:rsid w:val="003555E6"/>
    <w:rsid w:val="00376E56"/>
    <w:rsid w:val="003808D5"/>
    <w:rsid w:val="00380C77"/>
    <w:rsid w:val="003869B1"/>
    <w:rsid w:val="0038781E"/>
    <w:rsid w:val="0039770F"/>
    <w:rsid w:val="003B7C98"/>
    <w:rsid w:val="003C0F16"/>
    <w:rsid w:val="003C2D07"/>
    <w:rsid w:val="003C79CF"/>
    <w:rsid w:val="003D2FE2"/>
    <w:rsid w:val="003D4011"/>
    <w:rsid w:val="003F26B6"/>
    <w:rsid w:val="003F4F87"/>
    <w:rsid w:val="003F6B49"/>
    <w:rsid w:val="00400BDA"/>
    <w:rsid w:val="00403AEC"/>
    <w:rsid w:val="00414443"/>
    <w:rsid w:val="00415A3B"/>
    <w:rsid w:val="0043404C"/>
    <w:rsid w:val="004374A8"/>
    <w:rsid w:val="00446A1D"/>
    <w:rsid w:val="00450CF4"/>
    <w:rsid w:val="004555D2"/>
    <w:rsid w:val="004600A0"/>
    <w:rsid w:val="004701A1"/>
    <w:rsid w:val="00470896"/>
    <w:rsid w:val="00472266"/>
    <w:rsid w:val="00490BC3"/>
    <w:rsid w:val="00493E2A"/>
    <w:rsid w:val="004A686D"/>
    <w:rsid w:val="004D6093"/>
    <w:rsid w:val="004D62A7"/>
    <w:rsid w:val="004F20C4"/>
    <w:rsid w:val="005114D8"/>
    <w:rsid w:val="00512B09"/>
    <w:rsid w:val="0051470E"/>
    <w:rsid w:val="00514DCB"/>
    <w:rsid w:val="005228ED"/>
    <w:rsid w:val="0052416A"/>
    <w:rsid w:val="00532366"/>
    <w:rsid w:val="00554EB3"/>
    <w:rsid w:val="00564049"/>
    <w:rsid w:val="0056622C"/>
    <w:rsid w:val="00567320"/>
    <w:rsid w:val="00575620"/>
    <w:rsid w:val="00590DD1"/>
    <w:rsid w:val="00593456"/>
    <w:rsid w:val="00593747"/>
    <w:rsid w:val="005A04FA"/>
    <w:rsid w:val="005A3612"/>
    <w:rsid w:val="005A5C50"/>
    <w:rsid w:val="00604DDB"/>
    <w:rsid w:val="00607522"/>
    <w:rsid w:val="0062104D"/>
    <w:rsid w:val="00633D4B"/>
    <w:rsid w:val="00635FB1"/>
    <w:rsid w:val="00642C16"/>
    <w:rsid w:val="0064429B"/>
    <w:rsid w:val="00650C99"/>
    <w:rsid w:val="00667C92"/>
    <w:rsid w:val="0068176D"/>
    <w:rsid w:val="006854DD"/>
    <w:rsid w:val="006A0891"/>
    <w:rsid w:val="006A5106"/>
    <w:rsid w:val="006B368C"/>
    <w:rsid w:val="006C1E41"/>
    <w:rsid w:val="006E6397"/>
    <w:rsid w:val="006F1E69"/>
    <w:rsid w:val="006F1FCB"/>
    <w:rsid w:val="006F7B11"/>
    <w:rsid w:val="00701014"/>
    <w:rsid w:val="0071320A"/>
    <w:rsid w:val="0072007B"/>
    <w:rsid w:val="00724A50"/>
    <w:rsid w:val="007271CC"/>
    <w:rsid w:val="00734D1C"/>
    <w:rsid w:val="00743D7B"/>
    <w:rsid w:val="007459C0"/>
    <w:rsid w:val="00747289"/>
    <w:rsid w:val="00752487"/>
    <w:rsid w:val="00761A27"/>
    <w:rsid w:val="00761E81"/>
    <w:rsid w:val="00763CD5"/>
    <w:rsid w:val="00764979"/>
    <w:rsid w:val="007846A3"/>
    <w:rsid w:val="007922B9"/>
    <w:rsid w:val="007A7BCD"/>
    <w:rsid w:val="007B2013"/>
    <w:rsid w:val="007B3064"/>
    <w:rsid w:val="007D12C9"/>
    <w:rsid w:val="007D3A1C"/>
    <w:rsid w:val="007E5AA0"/>
    <w:rsid w:val="00805C8D"/>
    <w:rsid w:val="00807C33"/>
    <w:rsid w:val="00825C17"/>
    <w:rsid w:val="008448AD"/>
    <w:rsid w:val="00852B7C"/>
    <w:rsid w:val="00854AAE"/>
    <w:rsid w:val="00892399"/>
    <w:rsid w:val="008B0A93"/>
    <w:rsid w:val="008B594E"/>
    <w:rsid w:val="008C17E0"/>
    <w:rsid w:val="008C18F2"/>
    <w:rsid w:val="008D36F9"/>
    <w:rsid w:val="008D4AC4"/>
    <w:rsid w:val="008F62C3"/>
    <w:rsid w:val="008F775F"/>
    <w:rsid w:val="0091146B"/>
    <w:rsid w:val="00931F82"/>
    <w:rsid w:val="009359E8"/>
    <w:rsid w:val="00941E11"/>
    <w:rsid w:val="009525DB"/>
    <w:rsid w:val="00964610"/>
    <w:rsid w:val="00970D8A"/>
    <w:rsid w:val="00973F3F"/>
    <w:rsid w:val="00974CF7"/>
    <w:rsid w:val="00975640"/>
    <w:rsid w:val="009775AB"/>
    <w:rsid w:val="009814AC"/>
    <w:rsid w:val="009876BF"/>
    <w:rsid w:val="009A2C78"/>
    <w:rsid w:val="009A75B4"/>
    <w:rsid w:val="009B483A"/>
    <w:rsid w:val="009C038C"/>
    <w:rsid w:val="009D4981"/>
    <w:rsid w:val="009D6DED"/>
    <w:rsid w:val="009D6E21"/>
    <w:rsid w:val="009D7CE5"/>
    <w:rsid w:val="009E6AC4"/>
    <w:rsid w:val="00A22DBC"/>
    <w:rsid w:val="00A27AE9"/>
    <w:rsid w:val="00A30C0C"/>
    <w:rsid w:val="00A342FA"/>
    <w:rsid w:val="00A34B82"/>
    <w:rsid w:val="00A3651B"/>
    <w:rsid w:val="00A46CE1"/>
    <w:rsid w:val="00A47062"/>
    <w:rsid w:val="00A50213"/>
    <w:rsid w:val="00A51477"/>
    <w:rsid w:val="00A7538E"/>
    <w:rsid w:val="00A819D2"/>
    <w:rsid w:val="00A84396"/>
    <w:rsid w:val="00A868D5"/>
    <w:rsid w:val="00A959D9"/>
    <w:rsid w:val="00AA0BA3"/>
    <w:rsid w:val="00AA224B"/>
    <w:rsid w:val="00AB5CC7"/>
    <w:rsid w:val="00AB6CC2"/>
    <w:rsid w:val="00AC321A"/>
    <w:rsid w:val="00AF7E93"/>
    <w:rsid w:val="00B01A89"/>
    <w:rsid w:val="00B043A9"/>
    <w:rsid w:val="00B0560F"/>
    <w:rsid w:val="00B078AB"/>
    <w:rsid w:val="00B14622"/>
    <w:rsid w:val="00B15DE4"/>
    <w:rsid w:val="00B16EC1"/>
    <w:rsid w:val="00B53AB9"/>
    <w:rsid w:val="00B54419"/>
    <w:rsid w:val="00B55C89"/>
    <w:rsid w:val="00B5712F"/>
    <w:rsid w:val="00B61F0C"/>
    <w:rsid w:val="00B644D9"/>
    <w:rsid w:val="00B91B3D"/>
    <w:rsid w:val="00B95AA7"/>
    <w:rsid w:val="00B972C1"/>
    <w:rsid w:val="00BB1A0A"/>
    <w:rsid w:val="00BC44C8"/>
    <w:rsid w:val="00BC53FE"/>
    <w:rsid w:val="00BD1675"/>
    <w:rsid w:val="00BE7D49"/>
    <w:rsid w:val="00BF2997"/>
    <w:rsid w:val="00BF31C5"/>
    <w:rsid w:val="00BF7D6A"/>
    <w:rsid w:val="00C15E25"/>
    <w:rsid w:val="00C171B6"/>
    <w:rsid w:val="00C24EE1"/>
    <w:rsid w:val="00C3374D"/>
    <w:rsid w:val="00C63934"/>
    <w:rsid w:val="00C66AC1"/>
    <w:rsid w:val="00C670E2"/>
    <w:rsid w:val="00C76EF8"/>
    <w:rsid w:val="00C77511"/>
    <w:rsid w:val="00C81314"/>
    <w:rsid w:val="00C84495"/>
    <w:rsid w:val="00C846B9"/>
    <w:rsid w:val="00C86FD5"/>
    <w:rsid w:val="00C90647"/>
    <w:rsid w:val="00C937A0"/>
    <w:rsid w:val="00CA08F2"/>
    <w:rsid w:val="00CA1FFC"/>
    <w:rsid w:val="00CB299F"/>
    <w:rsid w:val="00CB6768"/>
    <w:rsid w:val="00CC2E0F"/>
    <w:rsid w:val="00CC4E18"/>
    <w:rsid w:val="00CE6E89"/>
    <w:rsid w:val="00D17420"/>
    <w:rsid w:val="00D215C7"/>
    <w:rsid w:val="00D271D7"/>
    <w:rsid w:val="00D30972"/>
    <w:rsid w:val="00D32A9C"/>
    <w:rsid w:val="00D374CF"/>
    <w:rsid w:val="00D443C3"/>
    <w:rsid w:val="00D45C9B"/>
    <w:rsid w:val="00D5071F"/>
    <w:rsid w:val="00D56FBD"/>
    <w:rsid w:val="00D617DE"/>
    <w:rsid w:val="00D64648"/>
    <w:rsid w:val="00D64F95"/>
    <w:rsid w:val="00D83F64"/>
    <w:rsid w:val="00D84C14"/>
    <w:rsid w:val="00DA5287"/>
    <w:rsid w:val="00DC002C"/>
    <w:rsid w:val="00DC4161"/>
    <w:rsid w:val="00DD2ACB"/>
    <w:rsid w:val="00DD6C49"/>
    <w:rsid w:val="00DD7CA8"/>
    <w:rsid w:val="00DF7975"/>
    <w:rsid w:val="00E122D0"/>
    <w:rsid w:val="00E12364"/>
    <w:rsid w:val="00E128C9"/>
    <w:rsid w:val="00E20CD4"/>
    <w:rsid w:val="00E21CE9"/>
    <w:rsid w:val="00E25E8B"/>
    <w:rsid w:val="00E2624A"/>
    <w:rsid w:val="00E426DC"/>
    <w:rsid w:val="00E427E0"/>
    <w:rsid w:val="00E459BD"/>
    <w:rsid w:val="00E62C67"/>
    <w:rsid w:val="00E72005"/>
    <w:rsid w:val="00E8209A"/>
    <w:rsid w:val="00E84A01"/>
    <w:rsid w:val="00E95875"/>
    <w:rsid w:val="00EA7387"/>
    <w:rsid w:val="00EE22A5"/>
    <w:rsid w:val="00EF3BAB"/>
    <w:rsid w:val="00F05468"/>
    <w:rsid w:val="00F258D9"/>
    <w:rsid w:val="00F406EA"/>
    <w:rsid w:val="00F40F4F"/>
    <w:rsid w:val="00F4647A"/>
    <w:rsid w:val="00F531C1"/>
    <w:rsid w:val="00F54E8D"/>
    <w:rsid w:val="00F6633B"/>
    <w:rsid w:val="00F73DEF"/>
    <w:rsid w:val="00F973A8"/>
    <w:rsid w:val="00FA4131"/>
    <w:rsid w:val="00FB174B"/>
    <w:rsid w:val="00FC0B43"/>
    <w:rsid w:val="00FE1121"/>
    <w:rsid w:val="00FE19D6"/>
    <w:rsid w:val="00FE54C3"/>
    <w:rsid w:val="00FE5633"/>
    <w:rsid w:val="00FF5D12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0DD1"/>
    <w:rPr>
      <w:strike w:val="0"/>
      <w:dstrike w:val="0"/>
      <w:color w:val="272B3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590DD1"/>
    <w:rPr>
      <w:strike w:val="0"/>
      <w:dstrike w:val="0"/>
      <w:color w:val="272B30"/>
      <w:u w:val="none"/>
      <w:effect w:val="none"/>
    </w:rPr>
  </w:style>
  <w:style w:type="paragraph" w:customStyle="1" w:styleId="dropdown">
    <w:name w:val="dropdown"/>
    <w:basedOn w:val="a"/>
    <w:rsid w:val="00590DD1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FEFE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drophead">
    <w:name w:val="drophead"/>
    <w:basedOn w:val="a"/>
    <w:rsid w:val="00590DD1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333333"/>
      <w:kern w:val="0"/>
      <w:sz w:val="14"/>
      <w:szCs w:val="14"/>
    </w:rPr>
  </w:style>
  <w:style w:type="paragraph" w:customStyle="1" w:styleId="foxinput">
    <w:name w:val="foxinput"/>
    <w:basedOn w:val="a"/>
    <w:rsid w:val="00590DD1"/>
    <w:pPr>
      <w:widowControl/>
      <w:pBdr>
        <w:top w:val="single" w:sz="6" w:space="2" w:color="C5D9EE"/>
        <w:left w:val="single" w:sz="6" w:space="0" w:color="C5D9EE"/>
        <w:bottom w:val="single" w:sz="6" w:space="0" w:color="C5D9EE"/>
        <w:right w:val="single" w:sz="6" w:space="0" w:color="C5D9EE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B70000"/>
      <w:kern w:val="0"/>
      <w:sz w:val="18"/>
      <w:szCs w:val="18"/>
    </w:rPr>
  </w:style>
  <w:style w:type="paragraph" w:customStyle="1" w:styleId="f1">
    <w:name w:val="f1"/>
    <w:basedOn w:val="a"/>
    <w:rsid w:val="00590D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30000"/>
      <w:kern w:val="0"/>
      <w:sz w:val="24"/>
      <w:szCs w:val="24"/>
    </w:rPr>
  </w:style>
  <w:style w:type="paragraph" w:customStyle="1" w:styleId="f2">
    <w:name w:val="f2"/>
    <w:basedOn w:val="a"/>
    <w:rsid w:val="00590D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f3">
    <w:name w:val="f3"/>
    <w:basedOn w:val="a"/>
    <w:rsid w:val="00590D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3966"/>
      <w:kern w:val="0"/>
      <w:sz w:val="20"/>
      <w:szCs w:val="20"/>
    </w:rPr>
  </w:style>
  <w:style w:type="paragraph" w:customStyle="1" w:styleId="f4">
    <w:name w:val="f4"/>
    <w:basedOn w:val="a"/>
    <w:rsid w:val="00590D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f5">
    <w:name w:val="f5"/>
    <w:basedOn w:val="a"/>
    <w:rsid w:val="00590D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3966"/>
      <w:kern w:val="0"/>
      <w:sz w:val="24"/>
      <w:szCs w:val="24"/>
    </w:rPr>
  </w:style>
  <w:style w:type="paragraph" w:customStyle="1" w:styleId="f6">
    <w:name w:val="f6"/>
    <w:basedOn w:val="a"/>
    <w:rsid w:val="00590DD1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7">
    <w:name w:val="f7"/>
    <w:basedOn w:val="a"/>
    <w:rsid w:val="00590DD1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590D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590DD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90DD1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A27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A27AE9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27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27AE9"/>
    <w:rPr>
      <w:sz w:val="18"/>
      <w:szCs w:val="18"/>
    </w:rPr>
  </w:style>
  <w:style w:type="table" w:styleId="a9">
    <w:name w:val="Light Shading"/>
    <w:basedOn w:val="a1"/>
    <w:uiPriority w:val="60"/>
    <w:rsid w:val="003D2FE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a">
    <w:name w:val="Table Grid"/>
    <w:basedOn w:val="a1"/>
    <w:uiPriority w:val="59"/>
    <w:rsid w:val="003D2F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5147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/>
            </a:pPr>
            <a:r>
              <a:rPr lang="en-US" altLang="zh-CN" sz="800" b="0"/>
              <a:t> </a:t>
            </a:r>
            <a:endParaRPr lang="zh-CN" altLang="en-US" sz="800" b="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地区生产总值（亿元）</c:v>
                </c:pt>
              </c:strCache>
            </c:strRef>
          </c:tx>
          <c:spPr>
            <a:noFill/>
            <a:ln w="12700">
              <a:solidFill>
                <a:sysClr val="windowText" lastClr="000000"/>
              </a:solidFill>
            </a:ln>
          </c:spPr>
          <c:dLbls>
            <c:dLblPos val="outEnd"/>
            <c:showVal val="1"/>
          </c:dLbls>
          <c:cat>
            <c:strRef>
              <c:f>Sheet1!$B$1:$F$1</c:f>
              <c:strCach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165.38000000000076</c:v>
                </c:pt>
                <c:pt idx="1">
                  <c:v>165.54</c:v>
                </c:pt>
                <c:pt idx="2" formatCode="0.00_ ">
                  <c:v>165.6</c:v>
                </c:pt>
                <c:pt idx="3">
                  <c:v>161.70999999999998</c:v>
                </c:pt>
                <c:pt idx="4">
                  <c:v>164.70999999999998</c:v>
                </c:pt>
              </c:numCache>
            </c:numRef>
          </c:val>
        </c:ser>
        <c:dLbls>
          <c:showVal val="1"/>
        </c:dLbls>
        <c:gapWidth val="124"/>
        <c:axId val="100829440"/>
        <c:axId val="100951168"/>
      </c:barChart>
      <c:lineChart>
        <c:grouping val="stacked"/>
        <c:ser>
          <c:idx val="1"/>
          <c:order val="1"/>
          <c:tx>
            <c:strRef>
              <c:f>Sheet1!$A$3</c:f>
              <c:strCache>
                <c:ptCount val="1"/>
                <c:pt idx="0">
                  <c:v>比上年增长（%）</c:v>
                </c:pt>
              </c:strCache>
            </c:strRef>
          </c:tx>
          <c:spPr>
            <a:ln w="12700">
              <a:solidFill>
                <a:srgbClr val="FF0000"/>
              </a:solidFill>
            </a:ln>
          </c:spPr>
          <c:marker>
            <c:symbol val="diamond"/>
            <c:size val="5"/>
            <c:spPr>
              <a:solidFill>
                <a:srgbClr val="FF0000"/>
              </a:solidFill>
              <a:ln>
                <a:solidFill>
                  <a:srgbClr val="FF0000"/>
                </a:solidFill>
                <a:bevel/>
              </a:ln>
            </c:spPr>
          </c:marker>
          <c:dLbls>
            <c:dLblPos val="t"/>
            <c:showVal val="1"/>
          </c:dLbls>
          <c:cat>
            <c:strRef>
              <c:f>Sheet1!$B$1:$F$1</c:f>
              <c:strCach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9.7000000000000011</c:v>
                </c:pt>
                <c:pt idx="1">
                  <c:v>9.8000000000000007</c:v>
                </c:pt>
                <c:pt idx="2">
                  <c:v>6.3</c:v>
                </c:pt>
                <c:pt idx="3">
                  <c:v>2.1</c:v>
                </c:pt>
                <c:pt idx="4">
                  <c:v>2.1</c:v>
                </c:pt>
              </c:numCache>
            </c:numRef>
          </c:val>
        </c:ser>
        <c:dLbls>
          <c:showVal val="1"/>
        </c:dLbls>
        <c:marker val="1"/>
        <c:axId val="101381248"/>
        <c:axId val="100952704"/>
      </c:lineChart>
      <c:catAx>
        <c:axId val="100829440"/>
        <c:scaling>
          <c:orientation val="minMax"/>
        </c:scaling>
        <c:axPos val="b"/>
        <c:tickLblPos val="nextTo"/>
        <c:crossAx val="100951168"/>
        <c:crosses val="autoZero"/>
        <c:auto val="1"/>
        <c:lblAlgn val="ctr"/>
        <c:lblOffset val="100"/>
      </c:catAx>
      <c:valAx>
        <c:axId val="100951168"/>
        <c:scaling>
          <c:orientation val="minMax"/>
          <c:max val="200"/>
          <c:min val="0"/>
        </c:scaling>
        <c:axPos val="l"/>
        <c:numFmt formatCode="General" sourceLinked="1"/>
        <c:tickLblPos val="nextTo"/>
        <c:spPr>
          <a:ln w="25400">
            <a:solidFill>
              <a:schemeClr val="bg1">
                <a:lumMod val="75000"/>
              </a:schemeClr>
            </a:solidFill>
          </a:ln>
        </c:spPr>
        <c:crossAx val="100829440"/>
        <c:crosses val="autoZero"/>
        <c:crossBetween val="between"/>
        <c:majorUnit val="50"/>
        <c:minorUnit val="1"/>
      </c:valAx>
      <c:valAx>
        <c:axId val="100952704"/>
        <c:scaling>
          <c:orientation val="minMax"/>
          <c:max val="30"/>
          <c:min val="0"/>
        </c:scaling>
        <c:axPos val="r"/>
        <c:numFmt formatCode="General" sourceLinked="1"/>
        <c:tickLblPos val="nextTo"/>
        <c:spPr>
          <a:ln w="25400" cap="rnd">
            <a:solidFill>
              <a:schemeClr val="bg1">
                <a:lumMod val="75000"/>
              </a:schemeClr>
            </a:solidFill>
            <a:headEnd type="none"/>
          </a:ln>
        </c:spPr>
        <c:crossAx val="101381248"/>
        <c:crosses val="max"/>
        <c:crossBetween val="between"/>
        <c:majorUnit val="5"/>
        <c:minorUnit val="0.4"/>
      </c:valAx>
      <c:catAx>
        <c:axId val="101381248"/>
        <c:scaling>
          <c:orientation val="minMax"/>
        </c:scaling>
        <c:delete val="1"/>
        <c:axPos val="b"/>
        <c:tickLblPos val="nextTo"/>
        <c:crossAx val="100952704"/>
        <c:crosses val="autoZero"/>
        <c:auto val="1"/>
        <c:lblAlgn val="ctr"/>
        <c:lblOffset val="100"/>
      </c:catAx>
    </c:plotArea>
    <c:legend>
      <c:legendPos val="t"/>
      <c:layout>
        <c:manualLayout>
          <c:xMode val="edge"/>
          <c:yMode val="edge"/>
          <c:x val="8.7825966834237768E-2"/>
          <c:y val="0.13477572446301317"/>
          <c:w val="0.80604118993134288"/>
          <c:h val="7.1199528630349784E-2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/>
            </a:pPr>
            <a:r>
              <a:rPr lang="en-US" altLang="zh-CN" sz="800" b="0"/>
              <a:t> </a:t>
            </a:r>
            <a:endParaRPr lang="zh-CN" altLang="en-US" sz="800" b="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公共财政预算收入（亿元）</c:v>
                </c:pt>
              </c:strCache>
            </c:strRef>
          </c:tx>
          <c:spPr>
            <a:noFill/>
            <a:ln w="12700">
              <a:solidFill>
                <a:sysClr val="windowText" lastClr="000000"/>
              </a:solidFill>
            </a:ln>
          </c:spPr>
          <c:dLbls>
            <c:dLblPos val="outEnd"/>
            <c:showVal val="1"/>
          </c:dLbls>
          <c:cat>
            <c:strRef>
              <c:f>Sheet1!$B$1:$F$1</c:f>
              <c:strCach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9.4600000000000026</c:v>
                </c:pt>
                <c:pt idx="1">
                  <c:v>11.46</c:v>
                </c:pt>
                <c:pt idx="2">
                  <c:v>11.47</c:v>
                </c:pt>
                <c:pt idx="3">
                  <c:v>6.53</c:v>
                </c:pt>
                <c:pt idx="4" formatCode="0.00_ ">
                  <c:v>6.6</c:v>
                </c:pt>
              </c:numCache>
            </c:numRef>
          </c:val>
        </c:ser>
        <c:dLbls>
          <c:showVal val="1"/>
        </c:dLbls>
        <c:gapWidth val="124"/>
        <c:axId val="108213376"/>
        <c:axId val="108239488"/>
      </c:barChart>
      <c:lineChart>
        <c:grouping val="stacked"/>
        <c:ser>
          <c:idx val="1"/>
          <c:order val="1"/>
          <c:tx>
            <c:strRef>
              <c:f>Sheet1!$A$3</c:f>
              <c:strCache>
                <c:ptCount val="1"/>
                <c:pt idx="0">
                  <c:v>比上年增长（%）</c:v>
                </c:pt>
              </c:strCache>
            </c:strRef>
          </c:tx>
          <c:spPr>
            <a:ln w="12700">
              <a:solidFill>
                <a:srgbClr val="FF0000"/>
              </a:solidFill>
            </a:ln>
          </c:spPr>
          <c:marker>
            <c:symbol val="diamond"/>
            <c:size val="5"/>
            <c:spPr>
              <a:solidFill>
                <a:srgbClr val="FF0000"/>
              </a:solidFill>
              <a:ln>
                <a:solidFill>
                  <a:srgbClr val="FF0000"/>
                </a:solidFill>
                <a:bevel/>
              </a:ln>
            </c:spPr>
          </c:marker>
          <c:dLbls>
            <c:dLbl>
              <c:idx val="3"/>
              <c:layout>
                <c:manualLayout>
                  <c:x val="0"/>
                  <c:y val="-0.13519813519813575"/>
                </c:manualLayout>
              </c:layout>
              <c:dLblPos val="b"/>
              <c:showVal val="1"/>
            </c:dLbl>
            <c:dLbl>
              <c:idx val="4"/>
              <c:layout>
                <c:manualLayout>
                  <c:x val="3.24694959168649E-3"/>
                  <c:y val="-1.7301176513774941E-2"/>
                </c:manualLayout>
              </c:layout>
              <c:dLblPos val="b"/>
              <c:showVal val="1"/>
            </c:dLbl>
            <c:dLblPos val="b"/>
            <c:showVal val="1"/>
          </c:dLbls>
          <c:cat>
            <c:strRef>
              <c:f>Sheet1!$B$1:$F$1</c:f>
              <c:strCach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9.2000000000000011</c:v>
                </c:pt>
                <c:pt idx="1">
                  <c:v>21.1</c:v>
                </c:pt>
                <c:pt idx="2">
                  <c:v>0.1</c:v>
                </c:pt>
                <c:pt idx="3">
                  <c:v>-43.1</c:v>
                </c:pt>
                <c:pt idx="4" formatCode="0.0_ ">
                  <c:v>1</c:v>
                </c:pt>
              </c:numCache>
            </c:numRef>
          </c:val>
        </c:ser>
        <c:dLbls>
          <c:showVal val="1"/>
        </c:dLbls>
        <c:marker val="1"/>
        <c:axId val="156256512"/>
        <c:axId val="128502784"/>
      </c:lineChart>
      <c:catAx>
        <c:axId val="108213376"/>
        <c:scaling>
          <c:orientation val="minMax"/>
        </c:scaling>
        <c:axPos val="b"/>
        <c:tickLblPos val="nextTo"/>
        <c:crossAx val="108239488"/>
        <c:crossesAt val="0"/>
        <c:auto val="1"/>
        <c:lblAlgn val="ctr"/>
        <c:lblOffset val="100"/>
      </c:catAx>
      <c:valAx>
        <c:axId val="108239488"/>
        <c:scaling>
          <c:orientation val="minMax"/>
          <c:max val="12"/>
          <c:min val="0"/>
        </c:scaling>
        <c:axPos val="l"/>
        <c:numFmt formatCode="General" sourceLinked="1"/>
        <c:tickLblPos val="nextTo"/>
        <c:spPr>
          <a:ln w="25400">
            <a:solidFill>
              <a:schemeClr val="bg1">
                <a:lumMod val="75000"/>
              </a:schemeClr>
            </a:solidFill>
          </a:ln>
        </c:spPr>
        <c:crossAx val="108213376"/>
        <c:crosses val="autoZero"/>
        <c:crossBetween val="between"/>
        <c:majorUnit val="4"/>
        <c:minorUnit val="1"/>
      </c:valAx>
      <c:valAx>
        <c:axId val="128502784"/>
        <c:scaling>
          <c:orientation val="minMax"/>
          <c:max val="45"/>
          <c:min val="-45"/>
        </c:scaling>
        <c:axPos val="r"/>
        <c:numFmt formatCode="General" sourceLinked="1"/>
        <c:tickLblPos val="nextTo"/>
        <c:crossAx val="156256512"/>
        <c:crosses val="max"/>
        <c:crossBetween val="between"/>
        <c:majorUnit val="15"/>
        <c:minorUnit val="0.4"/>
      </c:valAx>
      <c:catAx>
        <c:axId val="156256512"/>
        <c:scaling>
          <c:orientation val="minMax"/>
        </c:scaling>
        <c:delete val="1"/>
        <c:axPos val="b"/>
        <c:tickLblPos val="nextTo"/>
        <c:crossAx val="128502784"/>
        <c:crossesAt val="0"/>
        <c:auto val="1"/>
        <c:lblAlgn val="ctr"/>
        <c:lblOffset val="100"/>
      </c:catAx>
    </c:plotArea>
    <c:legend>
      <c:legendPos val="t"/>
      <c:layout>
        <c:manualLayout>
          <c:xMode val="edge"/>
          <c:yMode val="edge"/>
          <c:x val="8.7825966834237268E-2"/>
          <c:y val="0.13477572446301317"/>
          <c:w val="0.80604118993134266"/>
          <c:h val="7.1199528630349784E-2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8.5381051195315319E-2"/>
          <c:y val="0.18283985163011646"/>
          <c:w val="0.89295829898519063"/>
          <c:h val="0.74496995726773863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规模以上工业增加值增长速度(%)</c:v>
                </c:pt>
              </c:strCache>
            </c:strRef>
          </c:tx>
          <c:spPr>
            <a:ln w="12700"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4"/>
              <c:layout>
                <c:manualLayout>
                  <c:x val="1.4440433212996401E-2"/>
                  <c:y val="3.8567493112947625E-2"/>
                </c:manualLayout>
              </c:layout>
              <c:dLblPos val="t"/>
              <c:showVal val="1"/>
            </c:dLbl>
            <c:dLblPos val="t"/>
            <c:showVal val="1"/>
          </c:dLbls>
          <c:cat>
            <c:strRef>
              <c:f>Sheet1!$B$1:$F$1</c:f>
              <c:strCach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13.2</c:v>
                </c:pt>
                <c:pt idx="1">
                  <c:v>13.5</c:v>
                </c:pt>
                <c:pt idx="2" formatCode="0.0_ ">
                  <c:v>9</c:v>
                </c:pt>
                <c:pt idx="3">
                  <c:v>-2.6</c:v>
                </c:pt>
                <c:pt idx="4">
                  <c:v>-1.4</c:v>
                </c:pt>
              </c:numCache>
            </c:numRef>
          </c:val>
        </c:ser>
        <c:marker val="1"/>
        <c:axId val="93647616"/>
        <c:axId val="93649152"/>
      </c:lineChart>
      <c:catAx>
        <c:axId val="93647616"/>
        <c:scaling>
          <c:orientation val="minMax"/>
        </c:scaling>
        <c:axPos val="b"/>
        <c:tickLblPos val="nextTo"/>
        <c:spPr>
          <a:ln w="12700">
            <a:solidFill>
              <a:schemeClr val="bg1">
                <a:lumMod val="75000"/>
              </a:schemeClr>
            </a:solidFill>
          </a:ln>
        </c:spPr>
        <c:crossAx val="93649152"/>
        <c:crossesAt val="0"/>
        <c:auto val="1"/>
        <c:lblAlgn val="ctr"/>
        <c:lblOffset val="100"/>
      </c:catAx>
      <c:valAx>
        <c:axId val="93649152"/>
        <c:scaling>
          <c:orientation val="minMax"/>
          <c:max val="30"/>
          <c:min val="-10"/>
        </c:scaling>
        <c:axPos val="l"/>
        <c:numFmt formatCode="General" sourceLinked="1"/>
        <c:tickLblPos val="nextTo"/>
        <c:spPr>
          <a:ln w="15875">
            <a:solidFill>
              <a:schemeClr val="bg1">
                <a:lumMod val="75000"/>
              </a:schemeClr>
            </a:solidFill>
          </a:ln>
        </c:spPr>
        <c:crossAx val="93647616"/>
        <c:crosses val="autoZero"/>
        <c:crossBetween val="between"/>
        <c:majorUnit val="10"/>
      </c:valAx>
    </c:plotArea>
    <c:legend>
      <c:legendPos val="t"/>
      <c:layout>
        <c:manualLayout>
          <c:xMode val="edge"/>
          <c:yMode val="edge"/>
          <c:x val="0.25854155414688679"/>
          <c:y val="3.3057851239669422E-2"/>
          <c:w val="0.48291689170623098"/>
          <c:h val="7.7591809288301783E-2"/>
        </c:manualLayout>
      </c:layout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/>
            </a:pPr>
            <a:r>
              <a:rPr lang="en-US" altLang="zh-CN" sz="800" b="0"/>
              <a:t> </a:t>
            </a:r>
            <a:endParaRPr lang="zh-CN" altLang="en-US" sz="800" b="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固定资产投资（亿元）</c:v>
                </c:pt>
              </c:strCache>
            </c:strRef>
          </c:tx>
          <c:spPr>
            <a:noFill/>
            <a:ln w="12700">
              <a:solidFill>
                <a:sysClr val="windowText" lastClr="000000"/>
              </a:solidFill>
            </a:ln>
          </c:spPr>
          <c:dLbls>
            <c:dLblPos val="outEnd"/>
            <c:showVal val="1"/>
          </c:dLbls>
          <c:cat>
            <c:strRef>
              <c:f>Sheet1!$B$1:$F$1</c:f>
              <c:strCach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101.4</c:v>
                </c:pt>
                <c:pt idx="1">
                  <c:v>138.73999999999998</c:v>
                </c:pt>
                <c:pt idx="2">
                  <c:v>141.16</c:v>
                </c:pt>
                <c:pt idx="3">
                  <c:v>163.80000000000001</c:v>
                </c:pt>
                <c:pt idx="4" formatCode="0.0_ ">
                  <c:v>168</c:v>
                </c:pt>
              </c:numCache>
            </c:numRef>
          </c:val>
        </c:ser>
        <c:dLbls>
          <c:showVal val="1"/>
        </c:dLbls>
        <c:gapWidth val="124"/>
        <c:axId val="93868416"/>
        <c:axId val="93869952"/>
      </c:barChart>
      <c:lineChart>
        <c:grouping val="stacked"/>
        <c:ser>
          <c:idx val="1"/>
          <c:order val="1"/>
          <c:tx>
            <c:strRef>
              <c:f>Sheet1!$A$3</c:f>
              <c:strCache>
                <c:ptCount val="1"/>
                <c:pt idx="0">
                  <c:v>比上年增长（%）</c:v>
                </c:pt>
              </c:strCache>
            </c:strRef>
          </c:tx>
          <c:spPr>
            <a:ln w="12700">
              <a:solidFill>
                <a:srgbClr val="FF0000"/>
              </a:solidFill>
            </a:ln>
          </c:spPr>
          <c:marker>
            <c:symbol val="diamond"/>
            <c:size val="5"/>
            <c:spPr>
              <a:solidFill>
                <a:srgbClr val="FF0000"/>
              </a:solidFill>
              <a:ln>
                <a:solidFill>
                  <a:srgbClr val="FF0000"/>
                </a:solidFill>
                <a:bevel/>
              </a:ln>
            </c:spPr>
          </c:marker>
          <c:dLbls>
            <c:dLbl>
              <c:idx val="2"/>
              <c:layout>
                <c:manualLayout>
                  <c:x val="0"/>
                  <c:y val="-0.11799410029498526"/>
                </c:manualLayout>
              </c:layout>
              <c:dLblPos val="b"/>
              <c:showVal val="1"/>
            </c:dLbl>
            <c:dLbl>
              <c:idx val="3"/>
              <c:layout>
                <c:manualLayout>
                  <c:x val="-3.0511060259344092E-3"/>
                  <c:y val="-0.13688212927756652"/>
                </c:manualLayout>
              </c:layout>
              <c:dLblPos val="b"/>
              <c:showVal val="1"/>
            </c:dLbl>
            <c:dLbl>
              <c:idx val="4"/>
              <c:layout>
                <c:manualLayout>
                  <c:x val="6.1022120518688114E-3"/>
                  <c:y val="-0.15716136243425846"/>
                </c:manualLayout>
              </c:layout>
              <c:dLblPos val="b"/>
              <c:showVal val="1"/>
            </c:dLbl>
            <c:dLblPos val="b"/>
            <c:showVal val="1"/>
          </c:dLbls>
          <c:cat>
            <c:strRef>
              <c:f>Sheet1!$B$1:$F$1</c:f>
              <c:strCach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strCache>
            </c:strRef>
          </c:cat>
          <c:val>
            <c:numRef>
              <c:f>Sheet1!$B$3:$F$3</c:f>
              <c:numCache>
                <c:formatCode>0.0_ </c:formatCode>
                <c:ptCount val="5"/>
                <c:pt idx="0" formatCode="General">
                  <c:v>25.8</c:v>
                </c:pt>
                <c:pt idx="1">
                  <c:v>37</c:v>
                </c:pt>
                <c:pt idx="2" formatCode="General">
                  <c:v>1.6</c:v>
                </c:pt>
                <c:pt idx="3">
                  <c:v>16</c:v>
                </c:pt>
                <c:pt idx="4" formatCode="General">
                  <c:v>2.6</c:v>
                </c:pt>
              </c:numCache>
            </c:numRef>
          </c:val>
        </c:ser>
        <c:dLbls>
          <c:showVal val="1"/>
        </c:dLbls>
        <c:marker val="1"/>
        <c:axId val="93873280"/>
        <c:axId val="93871488"/>
      </c:lineChart>
      <c:catAx>
        <c:axId val="93868416"/>
        <c:scaling>
          <c:orientation val="minMax"/>
        </c:scaling>
        <c:axPos val="b"/>
        <c:tickLblPos val="nextTo"/>
        <c:crossAx val="93869952"/>
        <c:crossesAt val="0"/>
        <c:auto val="1"/>
        <c:lblAlgn val="ctr"/>
        <c:lblOffset val="100"/>
      </c:catAx>
      <c:valAx>
        <c:axId val="93869952"/>
        <c:scaling>
          <c:orientation val="minMax"/>
          <c:max val="200"/>
          <c:min val="0"/>
        </c:scaling>
        <c:axPos val="l"/>
        <c:numFmt formatCode="General" sourceLinked="1"/>
        <c:tickLblPos val="nextTo"/>
        <c:spPr>
          <a:ln w="25400">
            <a:solidFill>
              <a:schemeClr val="bg1">
                <a:lumMod val="75000"/>
              </a:schemeClr>
            </a:solidFill>
          </a:ln>
        </c:spPr>
        <c:crossAx val="93868416"/>
        <c:crosses val="autoZero"/>
        <c:crossBetween val="between"/>
        <c:majorUnit val="50"/>
        <c:minorUnit val="1"/>
      </c:valAx>
      <c:valAx>
        <c:axId val="93871488"/>
        <c:scaling>
          <c:orientation val="minMax"/>
          <c:max val="100"/>
          <c:min val="0"/>
        </c:scaling>
        <c:axPos val="r"/>
        <c:numFmt formatCode="General" sourceLinked="1"/>
        <c:tickLblPos val="nextTo"/>
        <c:crossAx val="93873280"/>
        <c:crosses val="max"/>
        <c:crossBetween val="between"/>
        <c:majorUnit val="20"/>
        <c:minorUnit val="0.4"/>
      </c:valAx>
      <c:catAx>
        <c:axId val="93873280"/>
        <c:scaling>
          <c:orientation val="minMax"/>
        </c:scaling>
        <c:delete val="1"/>
        <c:axPos val="b"/>
        <c:tickLblPos val="nextTo"/>
        <c:crossAx val="93871488"/>
        <c:crossesAt val="0"/>
        <c:auto val="1"/>
        <c:lblAlgn val="ctr"/>
        <c:lblOffset val="100"/>
      </c:catAx>
    </c:plotArea>
    <c:legend>
      <c:legendPos val="t"/>
      <c:layout>
        <c:manualLayout>
          <c:xMode val="edge"/>
          <c:yMode val="edge"/>
          <c:x val="8.7825966834237268E-2"/>
          <c:y val="0.13477572446301317"/>
          <c:w val="0.80604118993134244"/>
          <c:h val="7.1199528630349784E-2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/>
            </a:pPr>
            <a:r>
              <a:rPr lang="en-US" altLang="zh-CN" sz="800" b="0"/>
              <a:t> </a:t>
            </a:r>
            <a:endParaRPr lang="zh-CN" altLang="en-US" sz="800" b="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海关进出口总额（万美元）</c:v>
                </c:pt>
              </c:strCache>
            </c:strRef>
          </c:tx>
          <c:spPr>
            <a:noFill/>
            <a:ln w="12700">
              <a:solidFill>
                <a:sysClr val="windowText" lastClr="000000"/>
              </a:solidFill>
            </a:ln>
          </c:spPr>
          <c:dLbls>
            <c:dLbl>
              <c:idx val="4"/>
              <c:layout>
                <c:manualLayout>
                  <c:x val="0"/>
                  <c:y val="0.10071942446043169"/>
                </c:manualLayout>
              </c:layout>
              <c:dLblPos val="outEnd"/>
              <c:showVal val="1"/>
            </c:dLbl>
            <c:dLblPos val="outEnd"/>
            <c:showVal val="1"/>
          </c:dLbls>
          <c:cat>
            <c:strRef>
              <c:f>Sheet1!$B$1:$F$1</c:f>
              <c:strCach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14265</c:v>
                </c:pt>
                <c:pt idx="1">
                  <c:v>9641</c:v>
                </c:pt>
                <c:pt idx="2">
                  <c:v>7381</c:v>
                </c:pt>
                <c:pt idx="3">
                  <c:v>7344</c:v>
                </c:pt>
                <c:pt idx="4">
                  <c:v>6727</c:v>
                </c:pt>
              </c:numCache>
            </c:numRef>
          </c:val>
        </c:ser>
        <c:dLbls>
          <c:showVal val="1"/>
        </c:dLbls>
        <c:gapWidth val="124"/>
        <c:axId val="58957184"/>
        <c:axId val="59212928"/>
      </c:barChart>
      <c:lineChart>
        <c:grouping val="stacked"/>
        <c:ser>
          <c:idx val="1"/>
          <c:order val="1"/>
          <c:tx>
            <c:strRef>
              <c:f>Sheet1!$A$3</c:f>
              <c:strCache>
                <c:ptCount val="1"/>
                <c:pt idx="0">
                  <c:v>比上年增长（%）</c:v>
                </c:pt>
              </c:strCache>
            </c:strRef>
          </c:tx>
          <c:spPr>
            <a:ln w="12700">
              <a:solidFill>
                <a:srgbClr val="FF0000"/>
              </a:solidFill>
            </a:ln>
          </c:spPr>
          <c:marker>
            <c:symbol val="diamond"/>
            <c:size val="5"/>
            <c:spPr>
              <a:solidFill>
                <a:srgbClr val="FF0000"/>
              </a:solidFill>
              <a:ln>
                <a:solidFill>
                  <a:srgbClr val="FF0000"/>
                </a:solidFill>
                <a:bevel/>
              </a:ln>
            </c:spPr>
          </c:marker>
          <c:dLbls>
            <c:dLbl>
              <c:idx val="1"/>
              <c:layout>
                <c:manualLayout>
                  <c:x val="8.6393088552915182E-3"/>
                  <c:y val="-0.1294964028777012"/>
                </c:manualLayout>
              </c:layout>
              <c:dLblPos val="b"/>
              <c:showVal val="1"/>
            </c:dLbl>
            <c:dLbl>
              <c:idx val="2"/>
              <c:layout>
                <c:manualLayout>
                  <c:x val="-1.1519078473722105E-2"/>
                  <c:y val="-0.12949640287770112"/>
                </c:manualLayout>
              </c:layout>
              <c:dLblPos val="b"/>
              <c:showVal val="1"/>
            </c:dLbl>
            <c:dLbl>
              <c:idx val="3"/>
              <c:layout>
                <c:manualLayout>
                  <c:x val="-3.0511060259344092E-3"/>
                  <c:y val="-0.13688212927756652"/>
                </c:manualLayout>
              </c:layout>
              <c:dLblPos val="b"/>
              <c:showVal val="1"/>
            </c:dLbl>
            <c:dLbl>
              <c:idx val="4"/>
              <c:layout>
                <c:manualLayout>
                  <c:x val="8.6912825217236207E-3"/>
                  <c:y val="-0.10919956947827617"/>
                </c:manualLayout>
              </c:layout>
              <c:dLblPos val="b"/>
              <c:showVal val="1"/>
            </c:dLbl>
            <c:dLblPos val="b"/>
            <c:showVal val="1"/>
          </c:dLbls>
          <c:cat>
            <c:strRef>
              <c:f>Sheet1!$B$1:$F$1</c:f>
              <c:strCach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strCache>
            </c:strRef>
          </c:cat>
          <c:val>
            <c:numRef>
              <c:f>Sheet1!$B$3:$F$3</c:f>
              <c:numCache>
                <c:formatCode>0.0_ </c:formatCode>
                <c:ptCount val="5"/>
                <c:pt idx="0">
                  <c:v>11</c:v>
                </c:pt>
                <c:pt idx="1">
                  <c:v>-32.4</c:v>
                </c:pt>
                <c:pt idx="2" formatCode="General">
                  <c:v>-23.4</c:v>
                </c:pt>
                <c:pt idx="3" formatCode="General">
                  <c:v>-0.5</c:v>
                </c:pt>
                <c:pt idx="4" formatCode="General">
                  <c:v>-8.4</c:v>
                </c:pt>
              </c:numCache>
            </c:numRef>
          </c:val>
        </c:ser>
        <c:dLbls>
          <c:showVal val="1"/>
        </c:dLbls>
        <c:marker val="1"/>
        <c:axId val="93610368"/>
        <c:axId val="59214464"/>
      </c:lineChart>
      <c:catAx>
        <c:axId val="58957184"/>
        <c:scaling>
          <c:orientation val="minMax"/>
        </c:scaling>
        <c:axPos val="b"/>
        <c:tickLblPos val="nextTo"/>
        <c:crossAx val="59212928"/>
        <c:crossesAt val="0"/>
        <c:auto val="1"/>
        <c:lblAlgn val="ctr"/>
        <c:lblOffset val="100"/>
      </c:catAx>
      <c:valAx>
        <c:axId val="59212928"/>
        <c:scaling>
          <c:orientation val="minMax"/>
          <c:max val="15000"/>
          <c:min val="0"/>
        </c:scaling>
        <c:axPos val="l"/>
        <c:numFmt formatCode="General" sourceLinked="1"/>
        <c:tickLblPos val="nextTo"/>
        <c:spPr>
          <a:ln w="25400">
            <a:solidFill>
              <a:schemeClr val="bg1">
                <a:lumMod val="75000"/>
              </a:schemeClr>
            </a:solidFill>
          </a:ln>
        </c:spPr>
        <c:crossAx val="58957184"/>
        <c:crosses val="autoZero"/>
        <c:crossBetween val="between"/>
        <c:majorUnit val="3000"/>
        <c:minorUnit val="1"/>
      </c:valAx>
      <c:valAx>
        <c:axId val="59214464"/>
        <c:scaling>
          <c:orientation val="minMax"/>
          <c:max val="20"/>
          <c:min val="-40"/>
        </c:scaling>
        <c:axPos val="r"/>
        <c:numFmt formatCode="0.0_ " sourceLinked="1"/>
        <c:tickLblPos val="nextTo"/>
        <c:crossAx val="93610368"/>
        <c:crosses val="max"/>
        <c:crossBetween val="between"/>
        <c:majorUnit val="10"/>
        <c:minorUnit val="0.4"/>
      </c:valAx>
      <c:catAx>
        <c:axId val="93610368"/>
        <c:scaling>
          <c:orientation val="minMax"/>
        </c:scaling>
        <c:delete val="1"/>
        <c:axPos val="b"/>
        <c:tickLblPos val="nextTo"/>
        <c:crossAx val="59214464"/>
        <c:crossesAt val="0"/>
        <c:auto val="1"/>
        <c:lblAlgn val="ctr"/>
        <c:lblOffset val="100"/>
      </c:catAx>
    </c:plotArea>
    <c:legend>
      <c:legendPos val="t"/>
      <c:layout>
        <c:manualLayout>
          <c:xMode val="edge"/>
          <c:yMode val="edge"/>
          <c:x val="8.7825966834237268E-2"/>
          <c:y val="0.13477572446301317"/>
          <c:w val="0.80604118993134222"/>
          <c:h val="7.1199528630349784E-2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/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固定电话（万部）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dLblPos val="outEnd"/>
            <c:showVal val="1"/>
          </c:dLbls>
          <c:cat>
            <c:strRef>
              <c:f>Sheet1!$B$1:$F$1</c:f>
              <c:strCach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8.7399999999999984</c:v>
                </c:pt>
                <c:pt idx="1">
                  <c:v>7.05</c:v>
                </c:pt>
                <c:pt idx="2">
                  <c:v>5.1499999999999995</c:v>
                </c:pt>
                <c:pt idx="3">
                  <c:v>6.14</c:v>
                </c:pt>
                <c:pt idx="4">
                  <c:v>4.04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移动电话（万户）</c:v>
                </c:pt>
              </c:strCache>
            </c:strRef>
          </c:tx>
          <c:spPr>
            <a:solidFill>
              <a:srgbClr val="3FCD6E"/>
            </a:solidFill>
          </c:spPr>
          <c:dLbls>
            <c:dLblPos val="outEnd"/>
            <c:showVal val="1"/>
          </c:dLbls>
          <c:cat>
            <c:strRef>
              <c:f>Sheet1!$B$1:$F$1</c:f>
              <c:strCach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42.809999999999995</c:v>
                </c:pt>
                <c:pt idx="1">
                  <c:v>50.78</c:v>
                </c:pt>
                <c:pt idx="2" formatCode="0.00_ ">
                  <c:v>50.8</c:v>
                </c:pt>
                <c:pt idx="3">
                  <c:v>49.48</c:v>
                </c:pt>
                <c:pt idx="4">
                  <c:v>51.949999999999996</c:v>
                </c:pt>
              </c:numCache>
            </c:numRef>
          </c:val>
        </c:ser>
        <c:dLbls>
          <c:showVal val="1"/>
        </c:dLbls>
        <c:axId val="94033408"/>
        <c:axId val="94034944"/>
      </c:barChart>
      <c:catAx>
        <c:axId val="94033408"/>
        <c:scaling>
          <c:orientation val="minMax"/>
        </c:scaling>
        <c:axPos val="b"/>
        <c:tickLblPos val="nextTo"/>
        <c:crossAx val="94034944"/>
        <c:crosses val="autoZero"/>
        <c:auto val="1"/>
        <c:lblAlgn val="ctr"/>
        <c:lblOffset val="100"/>
      </c:catAx>
      <c:valAx>
        <c:axId val="94034944"/>
        <c:scaling>
          <c:orientation val="minMax"/>
        </c:scaling>
        <c:axPos val="l"/>
        <c:numFmt formatCode="General" sourceLinked="1"/>
        <c:tickLblPos val="nextTo"/>
        <c:crossAx val="94033408"/>
        <c:crosses val="autoZero"/>
        <c:crossBetween val="between"/>
      </c:valAx>
    </c:plotArea>
    <c:legend>
      <c:legendPos val="t"/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/>
            </a:pPr>
            <a:r>
              <a:rPr lang="en-US" altLang="zh-CN" sz="800" b="0"/>
              <a:t> </a:t>
            </a:r>
            <a:endParaRPr lang="zh-CN" altLang="en-US" sz="800" b="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住户存款（亿元）</c:v>
                </c:pt>
              </c:strCache>
            </c:strRef>
          </c:tx>
          <c:spPr>
            <a:noFill/>
            <a:ln w="12700">
              <a:solidFill>
                <a:sysClr val="windowText" lastClr="000000"/>
              </a:solidFill>
            </a:ln>
          </c:spPr>
          <c:dLbls>
            <c:dLblPos val="outEnd"/>
            <c:showVal val="1"/>
          </c:dLbls>
          <c:cat>
            <c:strRef>
              <c:f>Sheet1!$B$1:$F$1</c:f>
              <c:strCach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110.03</c:v>
                </c:pt>
                <c:pt idx="1">
                  <c:v>123.29</c:v>
                </c:pt>
                <c:pt idx="2">
                  <c:v>135.78</c:v>
                </c:pt>
                <c:pt idx="3">
                  <c:v>145.91999999999999</c:v>
                </c:pt>
                <c:pt idx="4">
                  <c:v>160.94999999999999</c:v>
                </c:pt>
              </c:numCache>
            </c:numRef>
          </c:val>
        </c:ser>
        <c:dLbls>
          <c:showVal val="1"/>
        </c:dLbls>
        <c:gapWidth val="124"/>
        <c:axId val="94086272"/>
        <c:axId val="94087808"/>
      </c:barChart>
      <c:lineChart>
        <c:grouping val="stacked"/>
        <c:ser>
          <c:idx val="1"/>
          <c:order val="1"/>
          <c:tx>
            <c:strRef>
              <c:f>Sheet1!$A$3</c:f>
              <c:strCache>
                <c:ptCount val="1"/>
                <c:pt idx="0">
                  <c:v>比上年增长（%）</c:v>
                </c:pt>
              </c:strCache>
            </c:strRef>
          </c:tx>
          <c:spPr>
            <a:ln w="12700">
              <a:solidFill>
                <a:srgbClr val="FF0000"/>
              </a:solidFill>
            </a:ln>
          </c:spPr>
          <c:marker>
            <c:symbol val="diamond"/>
            <c:size val="5"/>
            <c:spPr>
              <a:solidFill>
                <a:srgbClr val="FF0000"/>
              </a:solidFill>
              <a:ln>
                <a:solidFill>
                  <a:srgbClr val="FF0000"/>
                </a:solidFill>
                <a:bevel/>
              </a:ln>
            </c:spPr>
          </c:marker>
          <c:dLbls>
            <c:dLbl>
              <c:idx val="0"/>
              <c:layout>
                <c:manualLayout>
                  <c:x val="5.7595392368610509E-3"/>
                  <c:y val="0.15883589441187773"/>
                </c:manualLayout>
              </c:layout>
              <c:dLblPos val="t"/>
              <c:showVal val="1"/>
            </c:dLbl>
            <c:dLblPos val="t"/>
            <c:showVal val="1"/>
          </c:dLbls>
          <c:cat>
            <c:strRef>
              <c:f>Sheet1!$B$1:$F$1</c:f>
              <c:strCach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strCache>
            </c:strRef>
          </c:cat>
          <c:val>
            <c:numRef>
              <c:f>Sheet1!$B$3:$F$3</c:f>
              <c:numCache>
                <c:formatCode>0.0_ </c:formatCode>
                <c:ptCount val="5"/>
                <c:pt idx="0" formatCode="General">
                  <c:v>15.3</c:v>
                </c:pt>
                <c:pt idx="1">
                  <c:v>12</c:v>
                </c:pt>
                <c:pt idx="2" formatCode="General">
                  <c:v>10.1</c:v>
                </c:pt>
                <c:pt idx="3">
                  <c:v>7</c:v>
                </c:pt>
                <c:pt idx="4" formatCode="General">
                  <c:v>10.3</c:v>
                </c:pt>
              </c:numCache>
            </c:numRef>
          </c:val>
        </c:ser>
        <c:dLbls>
          <c:showVal val="1"/>
        </c:dLbls>
        <c:marker val="1"/>
        <c:axId val="94095232"/>
        <c:axId val="94093696"/>
      </c:lineChart>
      <c:catAx>
        <c:axId val="94086272"/>
        <c:scaling>
          <c:orientation val="minMax"/>
        </c:scaling>
        <c:axPos val="b"/>
        <c:tickLblPos val="nextTo"/>
        <c:crossAx val="94087808"/>
        <c:crosses val="autoZero"/>
        <c:auto val="1"/>
        <c:lblAlgn val="ctr"/>
        <c:lblOffset val="100"/>
      </c:catAx>
      <c:valAx>
        <c:axId val="94087808"/>
        <c:scaling>
          <c:orientation val="minMax"/>
          <c:max val="180"/>
          <c:min val="0"/>
        </c:scaling>
        <c:axPos val="l"/>
        <c:numFmt formatCode="General" sourceLinked="1"/>
        <c:tickLblPos val="nextTo"/>
        <c:spPr>
          <a:ln w="25400">
            <a:solidFill>
              <a:schemeClr val="bg1">
                <a:lumMod val="75000"/>
              </a:schemeClr>
            </a:solidFill>
          </a:ln>
        </c:spPr>
        <c:crossAx val="94086272"/>
        <c:crosses val="autoZero"/>
        <c:crossBetween val="between"/>
        <c:majorUnit val="60"/>
        <c:minorUnit val="1"/>
      </c:valAx>
      <c:valAx>
        <c:axId val="94093696"/>
        <c:scaling>
          <c:orientation val="minMax"/>
          <c:max val="30"/>
          <c:min val="0"/>
        </c:scaling>
        <c:axPos val="r"/>
        <c:numFmt formatCode="General" sourceLinked="1"/>
        <c:tickLblPos val="nextTo"/>
        <c:spPr>
          <a:ln w="25400" cap="rnd">
            <a:solidFill>
              <a:schemeClr val="bg1">
                <a:lumMod val="75000"/>
              </a:schemeClr>
            </a:solidFill>
            <a:headEnd type="none"/>
          </a:ln>
        </c:spPr>
        <c:crossAx val="94095232"/>
        <c:crosses val="max"/>
        <c:crossBetween val="between"/>
        <c:majorUnit val="5"/>
        <c:minorUnit val="0.4"/>
      </c:valAx>
      <c:catAx>
        <c:axId val="94095232"/>
        <c:scaling>
          <c:orientation val="minMax"/>
        </c:scaling>
        <c:delete val="1"/>
        <c:axPos val="b"/>
        <c:tickLblPos val="nextTo"/>
        <c:crossAx val="94093696"/>
        <c:crosses val="autoZero"/>
        <c:auto val="1"/>
        <c:lblAlgn val="ctr"/>
        <c:lblOffset val="100"/>
      </c:catAx>
    </c:plotArea>
    <c:legend>
      <c:legendPos val="t"/>
      <c:layout>
        <c:manualLayout>
          <c:xMode val="edge"/>
          <c:yMode val="edge"/>
          <c:x val="8.7825966834237268E-2"/>
          <c:y val="0.13477572446301317"/>
          <c:w val="0.80604118993134266"/>
          <c:h val="7.1199528630349784E-2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/>
            </a:pPr>
            <a:r>
              <a:rPr lang="en-US" altLang="zh-CN" sz="800" b="0"/>
              <a:t> </a:t>
            </a:r>
            <a:endParaRPr lang="zh-CN" altLang="en-US" sz="800" b="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城镇居民人均可支配收入（元）</c:v>
                </c:pt>
              </c:strCache>
            </c:strRef>
          </c:tx>
          <c:spPr>
            <a:noFill/>
            <a:ln w="12700">
              <a:solidFill>
                <a:sysClr val="windowText" lastClr="000000"/>
              </a:solidFill>
            </a:ln>
          </c:spPr>
          <c:dLbls>
            <c:dLblPos val="outEnd"/>
            <c:showVal val="1"/>
          </c:dLbls>
          <c:cat>
            <c:strRef>
              <c:f>Sheet1!$B$1:$F$1</c:f>
              <c:strCach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18319</c:v>
                </c:pt>
                <c:pt idx="1">
                  <c:v>20096</c:v>
                </c:pt>
                <c:pt idx="2">
                  <c:v>21615</c:v>
                </c:pt>
                <c:pt idx="3">
                  <c:v>23344</c:v>
                </c:pt>
                <c:pt idx="4">
                  <c:v>24605</c:v>
                </c:pt>
              </c:numCache>
            </c:numRef>
          </c:val>
        </c:ser>
        <c:dLbls>
          <c:showVal val="1"/>
        </c:dLbls>
        <c:gapWidth val="124"/>
        <c:axId val="94220672"/>
        <c:axId val="94222208"/>
      </c:barChart>
      <c:lineChart>
        <c:grouping val="stacked"/>
        <c:ser>
          <c:idx val="1"/>
          <c:order val="1"/>
          <c:tx>
            <c:strRef>
              <c:f>Sheet1!$A$3</c:f>
              <c:strCache>
                <c:ptCount val="1"/>
                <c:pt idx="0">
                  <c:v>比上年增长（%）</c:v>
                </c:pt>
              </c:strCache>
            </c:strRef>
          </c:tx>
          <c:spPr>
            <a:ln w="12700">
              <a:solidFill>
                <a:srgbClr val="FF0000"/>
              </a:solidFill>
            </a:ln>
          </c:spPr>
          <c:marker>
            <c:symbol val="diamond"/>
            <c:size val="5"/>
            <c:spPr>
              <a:solidFill>
                <a:srgbClr val="FF0000"/>
              </a:solidFill>
              <a:ln>
                <a:solidFill>
                  <a:srgbClr val="FF0000"/>
                </a:solidFill>
                <a:bevel/>
              </a:ln>
            </c:spPr>
          </c:marker>
          <c:dLbls>
            <c:dLbl>
              <c:idx val="4"/>
              <c:layout>
                <c:manualLayout>
                  <c:x val="6.1022120518688114E-3"/>
                  <c:y val="-0.15716136243425846"/>
                </c:manualLayout>
              </c:layout>
              <c:dLblPos val="b"/>
              <c:showVal val="1"/>
            </c:dLbl>
            <c:dLblPos val="b"/>
            <c:showVal val="1"/>
          </c:dLbls>
          <c:cat>
            <c:strRef>
              <c:f>Sheet1!$B$1:$F$1</c:f>
              <c:strCach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9.7000000000000011</c:v>
                </c:pt>
                <c:pt idx="1">
                  <c:v>9.7000000000000011</c:v>
                </c:pt>
                <c:pt idx="2">
                  <c:v>7.7</c:v>
                </c:pt>
                <c:pt idx="3">
                  <c:v>7.5</c:v>
                </c:pt>
                <c:pt idx="4">
                  <c:v>5.4</c:v>
                </c:pt>
              </c:numCache>
            </c:numRef>
          </c:val>
        </c:ser>
        <c:dLbls>
          <c:showVal val="1"/>
        </c:dLbls>
        <c:marker val="1"/>
        <c:axId val="94233728"/>
        <c:axId val="94223744"/>
      </c:lineChart>
      <c:catAx>
        <c:axId val="94220672"/>
        <c:scaling>
          <c:orientation val="minMax"/>
        </c:scaling>
        <c:axPos val="b"/>
        <c:tickLblPos val="nextTo"/>
        <c:crossAx val="94222208"/>
        <c:crossesAt val="0"/>
        <c:auto val="1"/>
        <c:lblAlgn val="ctr"/>
        <c:lblOffset val="100"/>
      </c:catAx>
      <c:valAx>
        <c:axId val="94222208"/>
        <c:scaling>
          <c:orientation val="minMax"/>
          <c:max val="30000"/>
          <c:min val="0"/>
        </c:scaling>
        <c:axPos val="l"/>
        <c:numFmt formatCode="General" sourceLinked="1"/>
        <c:tickLblPos val="nextTo"/>
        <c:spPr>
          <a:ln w="25400">
            <a:solidFill>
              <a:schemeClr val="bg1">
                <a:lumMod val="75000"/>
              </a:schemeClr>
            </a:solidFill>
          </a:ln>
        </c:spPr>
        <c:crossAx val="94220672"/>
        <c:crosses val="autoZero"/>
        <c:crossBetween val="between"/>
        <c:majorUnit val="5000"/>
        <c:minorUnit val="1"/>
      </c:valAx>
      <c:valAx>
        <c:axId val="94223744"/>
        <c:scaling>
          <c:orientation val="minMax"/>
          <c:max val="25"/>
          <c:min val="0"/>
        </c:scaling>
        <c:axPos val="r"/>
        <c:numFmt formatCode="General" sourceLinked="1"/>
        <c:tickLblPos val="nextTo"/>
        <c:crossAx val="94233728"/>
        <c:crosses val="max"/>
        <c:crossBetween val="between"/>
        <c:majorUnit val="5"/>
        <c:minorUnit val="0.4"/>
      </c:valAx>
      <c:catAx>
        <c:axId val="94233728"/>
        <c:scaling>
          <c:orientation val="minMax"/>
        </c:scaling>
        <c:delete val="1"/>
        <c:axPos val="b"/>
        <c:tickLblPos val="nextTo"/>
        <c:crossAx val="94223744"/>
        <c:crossesAt val="0"/>
        <c:auto val="1"/>
        <c:lblAlgn val="ctr"/>
        <c:lblOffset val="100"/>
      </c:catAx>
    </c:plotArea>
    <c:legend>
      <c:legendPos val="t"/>
    </c:legend>
    <c:plotVisOnly val="1"/>
    <c:dispBlanksAs val="zero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/>
            </a:pPr>
            <a:r>
              <a:rPr lang="en-US" altLang="zh-CN" sz="800" b="0"/>
              <a:t> </a:t>
            </a:r>
            <a:endParaRPr lang="zh-CN" altLang="en-US" sz="800" b="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农村居民人均可支配收入（元）</c:v>
                </c:pt>
              </c:strCache>
            </c:strRef>
          </c:tx>
          <c:spPr>
            <a:noFill/>
            <a:ln w="12700">
              <a:solidFill>
                <a:sysClr val="windowText" lastClr="000000"/>
              </a:solidFill>
            </a:ln>
          </c:spPr>
          <c:dLbls>
            <c:dLblPos val="outEnd"/>
            <c:showVal val="1"/>
          </c:dLbls>
          <c:cat>
            <c:strRef>
              <c:f>Sheet1!$B$1:$F$1</c:f>
              <c:strCach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7359</c:v>
                </c:pt>
                <c:pt idx="1">
                  <c:v>8249</c:v>
                </c:pt>
                <c:pt idx="2">
                  <c:v>9294</c:v>
                </c:pt>
                <c:pt idx="3">
                  <c:v>9921</c:v>
                </c:pt>
                <c:pt idx="4">
                  <c:v>10467</c:v>
                </c:pt>
              </c:numCache>
            </c:numRef>
          </c:val>
        </c:ser>
        <c:dLbls>
          <c:showVal val="1"/>
        </c:dLbls>
        <c:gapWidth val="124"/>
        <c:axId val="94309760"/>
        <c:axId val="94340224"/>
      </c:barChart>
      <c:lineChart>
        <c:grouping val="stacked"/>
        <c:ser>
          <c:idx val="1"/>
          <c:order val="1"/>
          <c:tx>
            <c:strRef>
              <c:f>Sheet1!$A$3</c:f>
              <c:strCache>
                <c:ptCount val="1"/>
                <c:pt idx="0">
                  <c:v>比上年增长（%）</c:v>
                </c:pt>
              </c:strCache>
            </c:strRef>
          </c:tx>
          <c:spPr>
            <a:ln w="12700">
              <a:solidFill>
                <a:srgbClr val="FF0000"/>
              </a:solidFill>
            </a:ln>
          </c:spPr>
          <c:marker>
            <c:symbol val="diamond"/>
            <c:size val="5"/>
            <c:spPr>
              <a:solidFill>
                <a:srgbClr val="FF0000"/>
              </a:solidFill>
              <a:ln>
                <a:solidFill>
                  <a:srgbClr val="FF0000"/>
                </a:solidFill>
                <a:bevel/>
              </a:ln>
            </c:spPr>
          </c:marker>
          <c:dLbls>
            <c:dLbl>
              <c:idx val="4"/>
              <c:layout>
                <c:manualLayout>
                  <c:x val="6.1022120518688114E-3"/>
                  <c:y val="-0.15716136243425846"/>
                </c:manualLayout>
              </c:layout>
              <c:dLblPos val="b"/>
              <c:showVal val="1"/>
            </c:dLbl>
            <c:dLblPos val="b"/>
            <c:showVal val="1"/>
          </c:dLbls>
          <c:cat>
            <c:strRef>
              <c:f>Sheet1!$B$1:$F$1</c:f>
              <c:strCach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8.9</c:v>
                </c:pt>
                <c:pt idx="1">
                  <c:v>12.1</c:v>
                </c:pt>
                <c:pt idx="2" formatCode="0.0_ ">
                  <c:v>12</c:v>
                </c:pt>
                <c:pt idx="3">
                  <c:v>6.8</c:v>
                </c:pt>
                <c:pt idx="4">
                  <c:v>5.5</c:v>
                </c:pt>
              </c:numCache>
            </c:numRef>
          </c:val>
        </c:ser>
        <c:dLbls>
          <c:showVal val="1"/>
        </c:dLbls>
        <c:marker val="1"/>
        <c:axId val="94351744"/>
        <c:axId val="94341760"/>
      </c:lineChart>
      <c:catAx>
        <c:axId val="94309760"/>
        <c:scaling>
          <c:orientation val="minMax"/>
        </c:scaling>
        <c:axPos val="b"/>
        <c:tickLblPos val="nextTo"/>
        <c:crossAx val="94340224"/>
        <c:crossesAt val="0"/>
        <c:auto val="1"/>
        <c:lblAlgn val="ctr"/>
        <c:lblOffset val="100"/>
      </c:catAx>
      <c:valAx>
        <c:axId val="94340224"/>
        <c:scaling>
          <c:orientation val="minMax"/>
          <c:max val="12000"/>
          <c:min val="0"/>
        </c:scaling>
        <c:axPos val="l"/>
        <c:numFmt formatCode="General" sourceLinked="1"/>
        <c:tickLblPos val="nextTo"/>
        <c:spPr>
          <a:ln w="25400">
            <a:solidFill>
              <a:schemeClr val="bg1">
                <a:lumMod val="75000"/>
              </a:schemeClr>
            </a:solidFill>
          </a:ln>
        </c:spPr>
        <c:crossAx val="94309760"/>
        <c:crosses val="autoZero"/>
        <c:crossBetween val="between"/>
        <c:majorUnit val="2000"/>
        <c:minorUnit val="1"/>
      </c:valAx>
      <c:valAx>
        <c:axId val="94341760"/>
        <c:scaling>
          <c:orientation val="minMax"/>
          <c:max val="25"/>
          <c:min val="0"/>
        </c:scaling>
        <c:axPos val="r"/>
        <c:numFmt formatCode="General" sourceLinked="1"/>
        <c:tickLblPos val="nextTo"/>
        <c:crossAx val="94351744"/>
        <c:crosses val="max"/>
        <c:crossBetween val="between"/>
        <c:majorUnit val="5"/>
        <c:minorUnit val="0.4"/>
      </c:valAx>
      <c:catAx>
        <c:axId val="94351744"/>
        <c:scaling>
          <c:orientation val="minMax"/>
        </c:scaling>
        <c:delete val="1"/>
        <c:axPos val="b"/>
        <c:tickLblPos val="nextTo"/>
        <c:crossAx val="94341760"/>
        <c:crossesAt val="0"/>
        <c:auto val="1"/>
        <c:lblAlgn val="ctr"/>
        <c:lblOffset val="100"/>
      </c:catAx>
    </c:plotArea>
    <c:legend>
      <c:legendPos val="t"/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018C8-11EE-4D0D-BF1B-77ED4CAE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4469</TotalTime>
  <Pages>21</Pages>
  <Words>1202</Words>
  <Characters>6854</Characters>
  <Application>Microsoft Office Word</Application>
  <DocSecurity>0</DocSecurity>
  <Lines>57</Lines>
  <Paragraphs>16</Paragraphs>
  <ScaleCrop>false</ScaleCrop>
  <Company/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23</cp:lastModifiedBy>
  <cp:revision>185</cp:revision>
  <cp:lastPrinted>2017-04-18T03:10:00Z</cp:lastPrinted>
  <dcterms:created xsi:type="dcterms:W3CDTF">2016-03-17T01:29:00Z</dcterms:created>
  <dcterms:modified xsi:type="dcterms:W3CDTF">2017-04-18T09:17:00Z</dcterms:modified>
</cp:coreProperties>
</file>