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1" w:rsidRDefault="00B16EC1" w:rsidP="00A27AE9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A27AE9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A27AE9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A27AE9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A27AE9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A27AE9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A27AE9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A27AE9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E122D0" w:rsidRPr="000627B5" w:rsidRDefault="000627B5" w:rsidP="00A27AE9">
      <w:pPr>
        <w:jc w:val="center"/>
        <w:rPr>
          <w:rFonts w:ascii="黑体" w:eastAsia="黑体" w:hAnsi="黑体"/>
          <w:color w:val="000000" w:themeColor="text1"/>
          <w:spacing w:val="20"/>
          <w:sz w:val="48"/>
          <w:szCs w:val="48"/>
        </w:rPr>
      </w:pPr>
      <w:r w:rsidRPr="000627B5">
        <w:rPr>
          <w:rFonts w:ascii="黑体" w:eastAsia="黑体" w:hAnsi="黑体" w:hint="eastAsia"/>
          <w:color w:val="000000" w:themeColor="text1"/>
          <w:spacing w:val="20"/>
          <w:sz w:val="48"/>
          <w:szCs w:val="48"/>
        </w:rPr>
        <w:t>洪  洞  县</w:t>
      </w:r>
    </w:p>
    <w:p w:rsidR="00A27AE9" w:rsidRPr="004600A0" w:rsidRDefault="00A27AE9" w:rsidP="00A27AE9">
      <w:pPr>
        <w:jc w:val="center"/>
        <w:rPr>
          <w:rFonts w:ascii="黑体" w:eastAsia="黑体" w:hAnsi="黑体"/>
          <w:color w:val="000000" w:themeColor="text1"/>
          <w:sz w:val="48"/>
          <w:szCs w:val="48"/>
        </w:rPr>
      </w:pPr>
      <w:r w:rsidRPr="004600A0">
        <w:rPr>
          <w:rFonts w:ascii="黑体" w:eastAsia="黑体" w:hAnsi="黑体" w:hint="eastAsia"/>
          <w:color w:val="000000" w:themeColor="text1"/>
          <w:sz w:val="48"/>
          <w:szCs w:val="48"/>
        </w:rPr>
        <w:t>2015年国民经济和社会发展</w:t>
      </w:r>
    </w:p>
    <w:p w:rsidR="00A27AE9" w:rsidRPr="004600A0" w:rsidRDefault="00A27AE9" w:rsidP="00A27AE9">
      <w:pPr>
        <w:jc w:val="center"/>
        <w:rPr>
          <w:rFonts w:ascii="黑体" w:eastAsia="黑体" w:hAnsi="黑体"/>
          <w:color w:val="000000" w:themeColor="text1"/>
          <w:sz w:val="48"/>
          <w:szCs w:val="48"/>
        </w:rPr>
      </w:pPr>
      <w:r w:rsidRPr="004600A0">
        <w:rPr>
          <w:rFonts w:ascii="黑体" w:eastAsia="黑体" w:hAnsi="黑体" w:hint="eastAsia"/>
          <w:color w:val="000000" w:themeColor="text1"/>
          <w:sz w:val="48"/>
          <w:szCs w:val="48"/>
        </w:rPr>
        <w:t>统</w:t>
      </w:r>
      <w:r w:rsidR="00E122D0" w:rsidRPr="004600A0">
        <w:rPr>
          <w:rFonts w:ascii="黑体" w:eastAsia="黑体" w:hAnsi="黑体" w:hint="eastAsia"/>
          <w:color w:val="000000" w:themeColor="text1"/>
          <w:sz w:val="48"/>
          <w:szCs w:val="48"/>
        </w:rPr>
        <w:t xml:space="preserve"> </w:t>
      </w:r>
      <w:r w:rsidRPr="004600A0">
        <w:rPr>
          <w:rFonts w:ascii="黑体" w:eastAsia="黑体" w:hAnsi="黑体" w:hint="eastAsia"/>
          <w:color w:val="000000" w:themeColor="text1"/>
          <w:sz w:val="48"/>
          <w:szCs w:val="48"/>
        </w:rPr>
        <w:t>计</w:t>
      </w:r>
      <w:r w:rsidR="00E122D0" w:rsidRPr="004600A0">
        <w:rPr>
          <w:rFonts w:ascii="黑体" w:eastAsia="黑体" w:hAnsi="黑体" w:hint="eastAsia"/>
          <w:color w:val="000000" w:themeColor="text1"/>
          <w:sz w:val="48"/>
          <w:szCs w:val="48"/>
        </w:rPr>
        <w:t xml:space="preserve"> </w:t>
      </w:r>
      <w:r w:rsidRPr="004600A0">
        <w:rPr>
          <w:rFonts w:ascii="黑体" w:eastAsia="黑体" w:hAnsi="黑体" w:hint="eastAsia"/>
          <w:color w:val="000000" w:themeColor="text1"/>
          <w:sz w:val="48"/>
          <w:szCs w:val="48"/>
        </w:rPr>
        <w:t>公 报</w:t>
      </w:r>
    </w:p>
    <w:p w:rsidR="00A27AE9" w:rsidRPr="004600A0" w:rsidRDefault="00A27AE9" w:rsidP="00A27AE9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A27AE9" w:rsidRPr="004600A0" w:rsidRDefault="00A27AE9" w:rsidP="00A27AE9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4600A0">
        <w:rPr>
          <w:rFonts w:ascii="黑体" w:eastAsia="黑体" w:hAnsi="黑体" w:hint="eastAsia"/>
          <w:color w:val="000000" w:themeColor="text1"/>
          <w:sz w:val="32"/>
          <w:szCs w:val="32"/>
        </w:rPr>
        <w:t>洪  洞  县  统  计  局</w:t>
      </w:r>
    </w:p>
    <w:p w:rsidR="00A27AE9" w:rsidRPr="004600A0" w:rsidRDefault="00A27AE9" w:rsidP="00A27AE9">
      <w:pPr>
        <w:spacing w:line="560" w:lineRule="exact"/>
        <w:jc w:val="center"/>
        <w:rPr>
          <w:rFonts w:ascii="黑体" w:eastAsia="黑体" w:hAnsi="黑体"/>
          <w:color w:val="000000" w:themeColor="text1"/>
          <w:spacing w:val="22"/>
          <w:sz w:val="24"/>
          <w:szCs w:val="24"/>
        </w:rPr>
      </w:pPr>
      <w:r w:rsidRPr="004600A0">
        <w:rPr>
          <w:rFonts w:ascii="黑体" w:eastAsia="黑体" w:hAnsi="黑体" w:hint="eastAsia"/>
          <w:color w:val="000000" w:themeColor="text1"/>
          <w:spacing w:val="22"/>
          <w:sz w:val="32"/>
          <w:szCs w:val="32"/>
        </w:rPr>
        <w:t>国家统计局洪洞调查队</w:t>
      </w:r>
    </w:p>
    <w:p w:rsidR="00A27AE9" w:rsidRPr="004600A0" w:rsidRDefault="00A27AE9" w:rsidP="00A27AE9">
      <w:pPr>
        <w:spacing w:line="560" w:lineRule="exact"/>
        <w:jc w:val="center"/>
        <w:rPr>
          <w:rFonts w:ascii="黑体" w:eastAsia="黑体" w:hAnsi="黑体"/>
          <w:color w:val="000000" w:themeColor="text1"/>
          <w:spacing w:val="16"/>
          <w:sz w:val="24"/>
          <w:szCs w:val="24"/>
        </w:rPr>
      </w:pPr>
    </w:p>
    <w:p w:rsidR="00A27AE9" w:rsidRPr="004600A0" w:rsidRDefault="00A27AE9" w:rsidP="00A27AE9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4600A0">
        <w:rPr>
          <w:rFonts w:ascii="黑体" w:eastAsia="黑体" w:hAnsi="黑体" w:hint="eastAsia"/>
          <w:color w:val="000000" w:themeColor="text1"/>
          <w:sz w:val="32"/>
          <w:szCs w:val="32"/>
        </w:rPr>
        <w:t>2016年4月1</w:t>
      </w:r>
      <w:r w:rsidR="00E122D0" w:rsidRPr="004600A0">
        <w:rPr>
          <w:rFonts w:ascii="黑体" w:eastAsia="黑体" w:hAnsi="黑体" w:hint="eastAsia"/>
          <w:color w:val="000000" w:themeColor="text1"/>
          <w:sz w:val="32"/>
          <w:szCs w:val="32"/>
        </w:rPr>
        <w:t>4</w:t>
      </w:r>
      <w:r w:rsidRPr="004600A0">
        <w:rPr>
          <w:rFonts w:ascii="黑体" w:eastAsia="黑体" w:hAnsi="黑体" w:hint="eastAsia"/>
          <w:color w:val="000000" w:themeColor="text1"/>
          <w:sz w:val="32"/>
          <w:szCs w:val="32"/>
        </w:rPr>
        <w:t>日</w:t>
      </w:r>
    </w:p>
    <w:p w:rsidR="00A27AE9" w:rsidRPr="00724A50" w:rsidRDefault="00A27AE9" w:rsidP="00A27AE9">
      <w:pPr>
        <w:spacing w:line="560" w:lineRule="exact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724A50" w:rsidRPr="00724A50" w:rsidRDefault="00724A50" w:rsidP="00724A50">
      <w:pPr>
        <w:pStyle w:val="a5"/>
        <w:spacing w:line="420" w:lineRule="atLeast"/>
        <w:ind w:firstLineChars="200" w:firstLine="60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4600A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2015年，</w:t>
      </w:r>
      <w:r w:rsidR="00470896" w:rsidRPr="004600A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宏观</w:t>
      </w:r>
      <w:r w:rsidRPr="004600A0">
        <w:rPr>
          <w:rFonts w:asciiTheme="minorEastAsia" w:eastAsiaTheme="minorEastAsia" w:hAnsiTheme="minorEastAsia"/>
          <w:color w:val="000000" w:themeColor="text1"/>
          <w:sz w:val="30"/>
          <w:szCs w:val="30"/>
        </w:rPr>
        <w:t>经济</w:t>
      </w:r>
      <w:r w:rsidR="00470896" w:rsidRPr="004600A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进入</w:t>
      </w:r>
      <w:r w:rsidRPr="004600A0">
        <w:rPr>
          <w:rFonts w:asciiTheme="minorEastAsia" w:eastAsiaTheme="minorEastAsia" w:hAnsiTheme="minorEastAsia"/>
          <w:color w:val="000000" w:themeColor="text1"/>
          <w:sz w:val="30"/>
          <w:szCs w:val="30"/>
        </w:rPr>
        <w:t>结构调整和动力转换的关键阶段，</w:t>
      </w:r>
      <w:r w:rsidR="00470896" w:rsidRPr="004600A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传统</w:t>
      </w:r>
      <w:r w:rsidRPr="004600A0">
        <w:rPr>
          <w:rFonts w:asciiTheme="minorEastAsia" w:eastAsiaTheme="minorEastAsia" w:hAnsiTheme="minorEastAsia"/>
          <w:color w:val="000000" w:themeColor="text1"/>
          <w:sz w:val="30"/>
          <w:szCs w:val="30"/>
        </w:rPr>
        <w:t>增长率趋势性回落与长期结构性、短期周期性问题叠加，经济下行压力不断加大。在复杂</w:t>
      </w:r>
      <w:r w:rsidR="00470896" w:rsidRPr="004600A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多变</w:t>
      </w:r>
      <w:r w:rsidRPr="004600A0">
        <w:rPr>
          <w:rFonts w:asciiTheme="minorEastAsia" w:eastAsiaTheme="minorEastAsia" w:hAnsiTheme="minorEastAsia"/>
          <w:color w:val="000000" w:themeColor="text1"/>
          <w:sz w:val="30"/>
          <w:szCs w:val="30"/>
        </w:rPr>
        <w:t>的国内外形势下，</w:t>
      </w:r>
      <w:r w:rsidRPr="004600A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在</w:t>
      </w:r>
      <w:r w:rsidRPr="004600A0">
        <w:rPr>
          <w:rFonts w:asciiTheme="minorEastAsia" w:eastAsiaTheme="minorEastAsia" w:hAnsiTheme="minorEastAsia"/>
          <w:color w:val="000000" w:themeColor="text1"/>
          <w:sz w:val="30"/>
          <w:szCs w:val="30"/>
        </w:rPr>
        <w:t>县委、县政府的正确领导下，</w:t>
      </w:r>
      <w:r w:rsidR="00470896" w:rsidRPr="004600A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全县</w:t>
      </w:r>
      <w:r w:rsidRPr="004600A0">
        <w:rPr>
          <w:rFonts w:asciiTheme="minorEastAsia" w:eastAsiaTheme="minorEastAsia" w:hAnsiTheme="minorEastAsia"/>
          <w:color w:val="000000" w:themeColor="text1"/>
          <w:sz w:val="30"/>
          <w:szCs w:val="30"/>
        </w:rPr>
        <w:t>认真落实</w:t>
      </w:r>
      <w:r w:rsidR="00470896" w:rsidRPr="004600A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上级</w:t>
      </w:r>
      <w:r w:rsidRPr="004600A0">
        <w:rPr>
          <w:rFonts w:asciiTheme="minorEastAsia" w:eastAsiaTheme="minorEastAsia" w:hAnsiTheme="minorEastAsia"/>
          <w:color w:val="000000" w:themeColor="text1"/>
          <w:sz w:val="30"/>
          <w:szCs w:val="30"/>
        </w:rPr>
        <w:t>稳增长、促改革、调结构、</w:t>
      </w:r>
      <w:r w:rsidRPr="00724A50">
        <w:rPr>
          <w:rFonts w:asciiTheme="minorEastAsia" w:eastAsiaTheme="minorEastAsia" w:hAnsiTheme="minorEastAsia"/>
          <w:color w:val="000000" w:themeColor="text1"/>
          <w:sz w:val="30"/>
          <w:szCs w:val="30"/>
        </w:rPr>
        <w:lastRenderedPageBreak/>
        <w:t>惠民生、防风险的各项政策措施，确保</w:t>
      </w:r>
      <w:r w:rsidRPr="00724A5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我县县域</w:t>
      </w:r>
      <w:r w:rsidRPr="00724A50">
        <w:rPr>
          <w:rFonts w:asciiTheme="minorEastAsia" w:eastAsiaTheme="minorEastAsia" w:hAnsiTheme="minorEastAsia"/>
          <w:color w:val="000000" w:themeColor="text1"/>
          <w:sz w:val="30"/>
          <w:szCs w:val="30"/>
        </w:rPr>
        <w:t>经济在困境中奋力前行。</w:t>
      </w:r>
    </w:p>
    <w:p w:rsidR="00590DD1" w:rsidRPr="00B16EC1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B16EC1"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  <w:t>一、综 合</w:t>
      </w:r>
    </w:p>
    <w:p w:rsidR="00590DD1" w:rsidRPr="00376E56" w:rsidRDefault="00590DD1" w:rsidP="00724A50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初步核算，全年全</w:t>
      </w:r>
      <w:r w:rsidR="00724A50"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生产总值</w:t>
      </w:r>
      <w:r w:rsidR="00724A50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1617128万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元，比上年增长</w:t>
      </w:r>
      <w:r w:rsidR="00724A50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2.1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%。其中，第一产业增加值</w:t>
      </w:r>
      <w:r w:rsidR="00724A50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107823万元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，下降</w:t>
      </w:r>
      <w:r w:rsidR="00C63934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5.3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%，占生产总值的比重为</w:t>
      </w:r>
      <w:r w:rsidR="00C63934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6.7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%；第二产业增加值</w:t>
      </w:r>
      <w:r w:rsidR="00C63934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956892万元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，下降</w:t>
      </w:r>
      <w:r w:rsidR="00C63934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1.9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%，占生产总值的比重为</w:t>
      </w:r>
      <w:r w:rsidR="00C63934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59.</w:t>
      </w:r>
      <w:r w:rsidR="00CC2E0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%；第三产业增加值</w:t>
      </w:r>
      <w:r w:rsidR="00C63934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552413万元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</w:t>
      </w:r>
      <w:r w:rsidR="00C63934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15.1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%，占生产总值的比重为</w:t>
      </w:r>
      <w:r w:rsidR="00C63934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34.2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%。第三产业中，房地产业增加值</w:t>
      </w:r>
      <w:r w:rsidR="003333C2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76384万元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，增长2.</w:t>
      </w:r>
      <w:r w:rsidR="003333C2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%；批发和零售业增加值</w:t>
      </w:r>
      <w:r w:rsidR="003333C2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71597万元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</w:t>
      </w:r>
      <w:r w:rsidR="003333C2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6.4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%；交通运输、仓储和邮政业增加值</w:t>
      </w:r>
      <w:r w:rsidR="003333C2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103430万元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</w:t>
      </w:r>
      <w:r w:rsidR="003333C2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10.1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3333C2"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；住宿和餐饮业增加值11639万元，增长8.4%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图1 2011-2015年全</w:t>
      </w:r>
      <w:r w:rsidR="00724A50"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县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生产总值及其增长速度</w:t>
      </w:r>
    </w:p>
    <w:p w:rsidR="00B16EC1" w:rsidRDefault="00153E28" w:rsidP="00B16EC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4733925" cy="2809875"/>
            <wp:effectExtent l="0" t="0" r="0" b="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0DD1" w:rsidRPr="00B16EC1" w:rsidRDefault="00B16EC1" w:rsidP="00B16EC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人均地区生产总值</w:t>
      </w:r>
      <w:r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21549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元，按2015年平均汇率计算为</w:t>
      </w:r>
      <w:r w:rsidRPr="00376E5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3460</w:t>
      </w:r>
      <w:r w:rsidRPr="00376E5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美元。</w:t>
      </w:r>
    </w:p>
    <w:p w:rsidR="00590DD1" w:rsidRPr="00343B3E" w:rsidRDefault="00590DD1" w:rsidP="00403AEC">
      <w:pPr>
        <w:widowControl/>
        <w:spacing w:before="100" w:beforeAutospacing="1" w:after="100" w:afterAutospacing="1" w:line="420" w:lineRule="atLeast"/>
        <w:ind w:firstLine="616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2E4AA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财政总收入143841万元，同比下降31.6%，其中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公共财政预算收入</w:t>
      </w:r>
      <w:r w:rsidR="00403AEC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65336万元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，下降</w:t>
      </w:r>
      <w:r w:rsidR="00403AEC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43.1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%。税收收入</w:t>
      </w:r>
      <w:r w:rsidR="00403AEC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120444万元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，下降</w:t>
      </w:r>
      <w:r w:rsidR="00403AEC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17.3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%，其中，国内增值税、营业税、企业所得税、个人所得税、资源税和城建税共计完成税收</w:t>
      </w:r>
      <w:r w:rsidR="00403AEC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28326万元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，下降</w:t>
      </w:r>
      <w:r w:rsidR="00974CF7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19.8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%。公共财政预算支出</w:t>
      </w:r>
      <w:r w:rsidR="00343B3E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413699万元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</w:t>
      </w:r>
      <w:r w:rsidR="00343B3E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14.9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%。其中，教育支出增长</w:t>
      </w:r>
      <w:r w:rsidR="00343B3E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62.2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%，农林水事务支出增长</w:t>
      </w:r>
      <w:r w:rsidR="00343B3E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40.5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%，社会保障和就业支出增长</w:t>
      </w:r>
      <w:r w:rsidR="00343B3E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29.9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%，节能环保支出增长</w:t>
      </w:r>
      <w:r w:rsidR="00343B3E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4.3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%，医疗卫生支出增长</w:t>
      </w:r>
      <w:r w:rsidR="00343B3E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5.4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%，公共安全支出增长</w:t>
      </w:r>
      <w:r w:rsidR="00343B3E" w:rsidRPr="00343B3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35.3</w:t>
      </w:r>
      <w:r w:rsidRPr="00343B3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 xml:space="preserve">%。 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图2 2011-2015年公共财政预算收入及其增长速度</w:t>
      </w:r>
    </w:p>
    <w:p w:rsidR="00590DD1" w:rsidRPr="001D7D77" w:rsidRDefault="00343B3E" w:rsidP="001D7D77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343B3E">
        <w:rPr>
          <w:rFonts w:asciiTheme="minorEastAsia" w:hAnsiTheme="minorEastAsia" w:cs="宋体" w:hint="eastAsia"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4448175" cy="2724150"/>
            <wp:effectExtent l="0" t="0" r="0" b="0"/>
            <wp:docPr id="1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0DD1" w:rsidRPr="00E21CE9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E21CE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居民消费价格比上年上涨</w:t>
      </w:r>
      <w:r w:rsidR="00E21CE9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1.7</w:t>
      </w:r>
      <w:r w:rsidRPr="00E21CE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%，其中，食品价格上涨</w:t>
      </w:r>
      <w:r w:rsidR="00E21CE9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1.9</w:t>
      </w:r>
      <w:r w:rsidRPr="00E21CE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E21CE9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；商品零售价格总指数比上年</w:t>
      </w:r>
      <w:r w:rsidR="002E4AA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提高</w:t>
      </w:r>
      <w:r w:rsidR="00E21CE9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0.8</w:t>
      </w:r>
      <w:r w:rsidR="002E4AA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个百分点</w:t>
      </w:r>
      <w:r w:rsidR="00E21CE9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；农业生产资料价</w:t>
      </w:r>
      <w:r w:rsidR="00E21CE9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lastRenderedPageBreak/>
        <w:t>格比上年下降1.1%。</w:t>
      </w:r>
      <w:r w:rsidRPr="00E21CE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工业生产者出厂价格下降</w:t>
      </w:r>
      <w:r w:rsidR="00A7538E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18.8</w:t>
      </w:r>
      <w:r w:rsidRPr="00E21CE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%，其中，生产资料价格下降</w:t>
      </w:r>
      <w:r w:rsidR="00A7538E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18.8</w:t>
      </w:r>
      <w:r w:rsidRPr="00E21CE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%，生活资料价格下降</w:t>
      </w:r>
      <w:r w:rsidR="00A7538E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17.2</w:t>
      </w:r>
      <w:r w:rsidRPr="00E21CE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%。工业生产者购进价格下降</w:t>
      </w:r>
      <w:r w:rsidR="00F73DEF" w:rsidRPr="00E21CE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12.8</w:t>
      </w:r>
      <w:r w:rsidRPr="00E21CE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表1 2015年居民消费价格比上年涨幅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253D85">
        <w:rPr>
          <w:rFonts w:asciiTheme="minorEastAsia" w:hAnsiTheme="minorEastAsia" w:cs="宋体"/>
          <w:color w:val="000000" w:themeColor="text1"/>
          <w:kern w:val="0"/>
          <w:szCs w:val="21"/>
        </w:rPr>
        <w:t>单位：%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312"/>
        <w:gridCol w:w="2278"/>
      </w:tblGrid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指 </w:t>
            </w:r>
            <w:r w:rsidR="00CB299F"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标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涨 幅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居民消费价格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E21CE9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1.7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9D6DED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食 品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E21CE9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1.9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9D6DED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烟 酒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E21CE9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5.0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9D6DED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衣 着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E21CE9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4.2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9D6DED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家庭设备用品及维修服务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E21CE9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2.1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9D6DED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医疗保健和个人用品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E21CE9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2.5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9D6DED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交通和通信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E21CE9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-3.0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9D6DED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娱乐教育文化用品及服务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E21CE9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1.5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9D6DED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居 住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E21CE9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1.0</w:t>
            </w:r>
          </w:p>
        </w:tc>
      </w:tr>
    </w:tbl>
    <w:p w:rsidR="00590DD1" w:rsidRPr="00C670E2" w:rsidRDefault="00590DD1" w:rsidP="00C670E2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城镇新增就业</w:t>
      </w:r>
      <w:r w:rsidR="001D7D77" w:rsidRPr="00C670E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5923人</w:t>
      </w:r>
      <w:r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，转移农村劳动力</w:t>
      </w:r>
      <w:r w:rsidR="001D7D77" w:rsidRPr="00C670E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6536</w:t>
      </w:r>
      <w:r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人，年末城镇登记失业率3.0%，控制在4.2%的目标范围之内。</w:t>
      </w:r>
    </w:p>
    <w:p w:rsidR="00590DD1" w:rsidRPr="00B16EC1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B16EC1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二、农 业</w:t>
      </w:r>
    </w:p>
    <w:p w:rsidR="00590DD1" w:rsidRPr="009D7CE5" w:rsidRDefault="00590DD1" w:rsidP="00E21CE9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农作物种植面积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78040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公顷，比上年减少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781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公顷，下降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1.0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%。其中，粮食种植面积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75119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公顷，减少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645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公顷；油料种植面积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145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增加27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公顷；棉花种植面积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0.5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减少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0.5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公顷。在粮食种植面积中，玉米种植面积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31209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公顷，增加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190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公顷；小麦种植面积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42013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公顷，减少</w:t>
      </w:r>
      <w:r w:rsidR="00593747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360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公顷。</w:t>
      </w:r>
    </w:p>
    <w:p w:rsidR="00590DD1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全年粮食产量</w:t>
      </w:r>
      <w:r w:rsidR="00DD6C49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40</w:t>
      </w:r>
      <w:r w:rsid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</w:t>
      </w:r>
      <w:r w:rsidR="00DD6C49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506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吨，比上年下降</w:t>
      </w:r>
      <w:r w:rsid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14.1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%。其中，夏粮</w:t>
      </w:r>
      <w:r w:rsidR="00DD6C49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233005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吨，增长</w:t>
      </w:r>
      <w:r w:rsidR="00DD6C49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2.0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%；秋粮</w:t>
      </w:r>
      <w:r w:rsidR="00DD6C49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174501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吨，下降</w:t>
      </w:r>
      <w:r w:rsidR="00DD6C49" w:rsidRPr="009D7CE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27.9</w:t>
      </w:r>
      <w:r w:rsidRPr="009D7CE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9B483A" w:rsidRPr="009B483A" w:rsidRDefault="009B483A" w:rsidP="009B483A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03499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全年完成造林</w:t>
      </w:r>
      <w:r w:rsidRPr="0003499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1058</w:t>
      </w:r>
      <w:r w:rsidRPr="0003499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</w:t>
      </w:r>
      <w:r w:rsidRPr="0003499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，降低23.0%</w:t>
      </w:r>
      <w:r w:rsidRPr="0003499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。其中，</w:t>
      </w:r>
      <w:r w:rsidRPr="0003499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干果经济林</w:t>
      </w:r>
      <w:r w:rsidRPr="0003499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面积</w:t>
      </w:r>
      <w:r w:rsidRPr="0003499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482</w:t>
      </w:r>
      <w:r w:rsidRPr="0003499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公顷。全年木材产量</w:t>
      </w:r>
      <w:r w:rsidRPr="0003499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19530</w:t>
      </w:r>
      <w:r w:rsidRPr="0003499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立方米，增长</w:t>
      </w:r>
      <w:r w:rsidRPr="0003499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95.3</w:t>
      </w:r>
      <w:r w:rsidRPr="0003499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表2 2015年主要农林产品产量及其增长速度</w:t>
      </w:r>
    </w:p>
    <w:p w:rsidR="00D271D7" w:rsidRPr="00253D85" w:rsidRDefault="00590DD1" w:rsidP="00D271D7">
      <w:pPr>
        <w:widowControl/>
        <w:spacing w:before="100" w:beforeAutospacing="1" w:after="100" w:afterAutospacing="1" w:line="420" w:lineRule="atLeast"/>
        <w:ind w:firstLine="45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253D85">
        <w:rPr>
          <w:rFonts w:asciiTheme="minorEastAsia" w:hAnsiTheme="minorEastAsia" w:cs="宋体"/>
          <w:color w:val="000000" w:themeColor="text1"/>
          <w:kern w:val="0"/>
          <w:szCs w:val="21"/>
        </w:rPr>
        <w:t>单位：吨、%</w:t>
      </w:r>
    </w:p>
    <w:tbl>
      <w:tblPr>
        <w:tblStyle w:val="aa"/>
        <w:tblW w:w="5000" w:type="pct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387"/>
        <w:gridCol w:w="2177"/>
        <w:gridCol w:w="1958"/>
      </w:tblGrid>
      <w:tr w:rsidR="00590DD1" w:rsidRPr="00034992" w:rsidTr="003D2FE2">
        <w:trPr>
          <w:trHeight w:hRule="exact" w:val="78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277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产 量</w:t>
            </w:r>
          </w:p>
        </w:tc>
        <w:tc>
          <w:tcPr>
            <w:tcW w:w="1149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比上年增长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粮 食</w:t>
            </w:r>
          </w:p>
        </w:tc>
        <w:tc>
          <w:tcPr>
            <w:tcW w:w="1277" w:type="pct"/>
            <w:hideMark/>
          </w:tcPr>
          <w:p w:rsidR="00590DD1" w:rsidRPr="00B16EC1" w:rsidRDefault="009D7CE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407506</w:t>
            </w:r>
          </w:p>
        </w:tc>
        <w:tc>
          <w:tcPr>
            <w:tcW w:w="1149" w:type="pct"/>
            <w:hideMark/>
          </w:tcPr>
          <w:p w:rsidR="00590DD1" w:rsidRPr="00B16EC1" w:rsidRDefault="002E4AAB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9D7CE5"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14.1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其中：玉 米</w:t>
            </w:r>
          </w:p>
        </w:tc>
        <w:tc>
          <w:tcPr>
            <w:tcW w:w="1277" w:type="pct"/>
            <w:hideMark/>
          </w:tcPr>
          <w:p w:rsidR="00590DD1" w:rsidRPr="00B16EC1" w:rsidRDefault="00EE22A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168153</w:t>
            </w:r>
          </w:p>
        </w:tc>
        <w:tc>
          <w:tcPr>
            <w:tcW w:w="1149" w:type="pct"/>
            <w:hideMark/>
          </w:tcPr>
          <w:p w:rsidR="00590DD1" w:rsidRPr="00B16EC1" w:rsidRDefault="00EE22A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-27.8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B16EC1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小 麦</w:t>
            </w:r>
          </w:p>
        </w:tc>
        <w:tc>
          <w:tcPr>
            <w:tcW w:w="1277" w:type="pct"/>
            <w:hideMark/>
          </w:tcPr>
          <w:p w:rsidR="00590DD1" w:rsidRPr="00B16EC1" w:rsidRDefault="009D7CE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233005</w:t>
            </w:r>
          </w:p>
        </w:tc>
        <w:tc>
          <w:tcPr>
            <w:tcW w:w="1149" w:type="pct"/>
            <w:hideMark/>
          </w:tcPr>
          <w:p w:rsidR="00590DD1" w:rsidRPr="00B16EC1" w:rsidRDefault="009D7CE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2.0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B16EC1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谷 子</w:t>
            </w:r>
          </w:p>
        </w:tc>
        <w:tc>
          <w:tcPr>
            <w:tcW w:w="1277" w:type="pct"/>
            <w:hideMark/>
          </w:tcPr>
          <w:p w:rsidR="00590DD1" w:rsidRPr="00B16EC1" w:rsidRDefault="009D7CE5" w:rsidP="009D7CE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213</w:t>
            </w:r>
          </w:p>
        </w:tc>
        <w:tc>
          <w:tcPr>
            <w:tcW w:w="1149" w:type="pct"/>
            <w:hideMark/>
          </w:tcPr>
          <w:p w:rsidR="00590DD1" w:rsidRPr="00B16EC1" w:rsidRDefault="009D7CE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-64.4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B16EC1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豆 类</w:t>
            </w:r>
          </w:p>
        </w:tc>
        <w:tc>
          <w:tcPr>
            <w:tcW w:w="1277" w:type="pct"/>
            <w:hideMark/>
          </w:tcPr>
          <w:p w:rsidR="00590DD1" w:rsidRPr="00B16EC1" w:rsidRDefault="009D7CE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1098</w:t>
            </w:r>
          </w:p>
        </w:tc>
        <w:tc>
          <w:tcPr>
            <w:tcW w:w="1149" w:type="pct"/>
            <w:hideMark/>
          </w:tcPr>
          <w:p w:rsidR="00590DD1" w:rsidRPr="00B16EC1" w:rsidRDefault="009D7CE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-37.2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B16EC1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薯 类</w:t>
            </w:r>
          </w:p>
        </w:tc>
        <w:tc>
          <w:tcPr>
            <w:tcW w:w="1277" w:type="pct"/>
            <w:hideMark/>
          </w:tcPr>
          <w:p w:rsidR="00590DD1" w:rsidRPr="00B16EC1" w:rsidRDefault="00EE22A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4985</w:t>
            </w:r>
          </w:p>
        </w:tc>
        <w:tc>
          <w:tcPr>
            <w:tcW w:w="1149" w:type="pct"/>
            <w:hideMark/>
          </w:tcPr>
          <w:p w:rsidR="00590DD1" w:rsidRPr="00B16EC1" w:rsidRDefault="00EE22A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-25.2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油 料</w:t>
            </w:r>
          </w:p>
        </w:tc>
        <w:tc>
          <w:tcPr>
            <w:tcW w:w="1277" w:type="pct"/>
            <w:hideMark/>
          </w:tcPr>
          <w:p w:rsidR="00590DD1" w:rsidRPr="00B16EC1" w:rsidRDefault="009D7CE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417</w:t>
            </w:r>
          </w:p>
        </w:tc>
        <w:tc>
          <w:tcPr>
            <w:tcW w:w="1149" w:type="pct"/>
            <w:hideMark/>
          </w:tcPr>
          <w:p w:rsidR="00590DD1" w:rsidRPr="00B16EC1" w:rsidRDefault="009D7CE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16.5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棉 花</w:t>
            </w:r>
          </w:p>
        </w:tc>
        <w:tc>
          <w:tcPr>
            <w:tcW w:w="1277" w:type="pct"/>
            <w:hideMark/>
          </w:tcPr>
          <w:p w:rsidR="00590DD1" w:rsidRPr="00B16EC1" w:rsidRDefault="009D7CE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0.5</w:t>
            </w:r>
          </w:p>
        </w:tc>
        <w:tc>
          <w:tcPr>
            <w:tcW w:w="1149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-28.6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蔬 菜</w:t>
            </w:r>
          </w:p>
        </w:tc>
        <w:tc>
          <w:tcPr>
            <w:tcW w:w="1277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70239</w:t>
            </w:r>
          </w:p>
        </w:tc>
        <w:tc>
          <w:tcPr>
            <w:tcW w:w="1149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-19.0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水 果</w:t>
            </w:r>
          </w:p>
        </w:tc>
        <w:tc>
          <w:tcPr>
            <w:tcW w:w="1277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12961</w:t>
            </w:r>
          </w:p>
        </w:tc>
        <w:tc>
          <w:tcPr>
            <w:tcW w:w="1149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12.6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其中：苹 果</w:t>
            </w:r>
          </w:p>
        </w:tc>
        <w:tc>
          <w:tcPr>
            <w:tcW w:w="1277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8299</w:t>
            </w:r>
          </w:p>
        </w:tc>
        <w:tc>
          <w:tcPr>
            <w:tcW w:w="1149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20.9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B16EC1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红 枣</w:t>
            </w:r>
          </w:p>
        </w:tc>
        <w:tc>
          <w:tcPr>
            <w:tcW w:w="1277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2359</w:t>
            </w:r>
          </w:p>
        </w:tc>
        <w:tc>
          <w:tcPr>
            <w:tcW w:w="1149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8.0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食用坚果</w:t>
            </w:r>
          </w:p>
        </w:tc>
        <w:tc>
          <w:tcPr>
            <w:tcW w:w="1277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1604</w:t>
            </w:r>
          </w:p>
        </w:tc>
        <w:tc>
          <w:tcPr>
            <w:tcW w:w="1149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349.3</w:t>
            </w:r>
          </w:p>
        </w:tc>
      </w:tr>
      <w:tr w:rsidR="00590DD1" w:rsidRPr="00034992" w:rsidTr="003D2FE2">
        <w:trPr>
          <w:trHeight w:hRule="exact" w:val="454"/>
        </w:trPr>
        <w:tc>
          <w:tcPr>
            <w:tcW w:w="2574" w:type="pct"/>
            <w:hideMark/>
          </w:tcPr>
          <w:p w:rsidR="00590DD1" w:rsidRPr="00B16EC1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其中：核 桃</w:t>
            </w:r>
          </w:p>
        </w:tc>
        <w:tc>
          <w:tcPr>
            <w:tcW w:w="1277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1600</w:t>
            </w:r>
          </w:p>
        </w:tc>
        <w:tc>
          <w:tcPr>
            <w:tcW w:w="1149" w:type="pct"/>
            <w:hideMark/>
          </w:tcPr>
          <w:p w:rsidR="00590DD1" w:rsidRPr="00B16EC1" w:rsidRDefault="00C3374D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348.2</w:t>
            </w:r>
          </w:p>
        </w:tc>
      </w:tr>
    </w:tbl>
    <w:p w:rsidR="00590DD1" w:rsidRPr="00D617DE" w:rsidRDefault="00590DD1" w:rsidP="00575620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全年全</w:t>
      </w:r>
      <w:r w:rsidR="00724A50"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猪牛羊肉总产量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16759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吨，比上年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降低17.7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%。其中，猪肉产量</w:t>
      </w:r>
      <w:r w:rsidR="00034992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14561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</w:t>
      </w:r>
      <w:r w:rsidR="00FF5D12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下降7.8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%；牛肉产量</w:t>
      </w:r>
      <w:r w:rsidR="00FF5D12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758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吨，下降</w:t>
      </w:r>
      <w:r w:rsidR="00FF5D12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21.1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%；羊肉产量</w:t>
      </w:r>
      <w:r w:rsidR="00FF5D12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1440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吨，增长</w:t>
      </w:r>
      <w:r w:rsidR="00FF5D12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12.3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%。年末生猪存栏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136279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头，生猪出栏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183819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头。牛奶产量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4045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吨，下降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5.4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%。禽蛋产量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22673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下降11.9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%。水产品产量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1301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吨，增长1.</w:t>
      </w:r>
      <w:r w:rsidR="00BF7D6A" w:rsidRPr="00D617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</w:t>
      </w:r>
      <w:r w:rsidRPr="00D617DE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4555D2" w:rsidRDefault="00590DD1" w:rsidP="0030735D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农业机械总动力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111.87万千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瓦，增长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1.5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%。机械耕地面积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50400</w:t>
      </w:r>
      <w:r w:rsidR="004555D2"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下降3.3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%，机械播种面积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69734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下降1.3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%，机械收获面积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62073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增长0.7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%。全</w:t>
      </w:r>
      <w:r w:rsidR="00724A50"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农机化经营总收入达到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30670万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元，增长4.</w:t>
      </w:r>
      <w:r w:rsidR="004555D2" w:rsidRPr="004555D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</w:t>
      </w:r>
      <w:r w:rsidRPr="004555D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B16EC1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B16EC1">
        <w:rPr>
          <w:rFonts w:ascii="黑体" w:eastAsia="黑体" w:hAnsi="黑体" w:cs="宋体"/>
          <w:kern w:val="0"/>
          <w:sz w:val="36"/>
          <w:szCs w:val="36"/>
        </w:rPr>
        <w:t>三、工业和建筑业</w:t>
      </w:r>
    </w:p>
    <w:p w:rsidR="00590DD1" w:rsidRPr="009D4981" w:rsidRDefault="00590DD1" w:rsidP="009D4981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9D4981">
        <w:rPr>
          <w:rFonts w:asciiTheme="minorEastAsia" w:hAnsiTheme="minorEastAsia" w:cs="宋体"/>
          <w:kern w:val="0"/>
          <w:sz w:val="30"/>
          <w:szCs w:val="30"/>
        </w:rPr>
        <w:t>年末全</w:t>
      </w:r>
      <w:r w:rsidR="00724A50" w:rsidRPr="009D4981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9D4981">
        <w:rPr>
          <w:rFonts w:asciiTheme="minorEastAsia" w:hAnsiTheme="minorEastAsia" w:cs="宋体"/>
          <w:kern w:val="0"/>
          <w:sz w:val="30"/>
          <w:szCs w:val="30"/>
        </w:rPr>
        <w:t>规模以上工业企业</w:t>
      </w:r>
      <w:r w:rsidR="001C1C7F" w:rsidRPr="009D4981">
        <w:rPr>
          <w:rFonts w:asciiTheme="minorEastAsia" w:hAnsiTheme="minorEastAsia" w:cs="宋体" w:hint="eastAsia"/>
          <w:kern w:val="0"/>
          <w:sz w:val="30"/>
          <w:szCs w:val="30"/>
        </w:rPr>
        <w:t>54</w:t>
      </w:r>
      <w:r w:rsidRPr="009D4981">
        <w:rPr>
          <w:rFonts w:asciiTheme="minorEastAsia" w:hAnsiTheme="minorEastAsia" w:cs="宋体"/>
          <w:kern w:val="0"/>
          <w:sz w:val="30"/>
          <w:szCs w:val="30"/>
        </w:rPr>
        <w:t>家。全年规模以上工业</w:t>
      </w:r>
      <w:r w:rsidR="001C1C7F" w:rsidRPr="009D4981">
        <w:rPr>
          <w:rFonts w:asciiTheme="minorEastAsia" w:hAnsiTheme="minorEastAsia" w:cs="宋体" w:hint="eastAsia"/>
          <w:kern w:val="0"/>
          <w:sz w:val="30"/>
          <w:szCs w:val="30"/>
        </w:rPr>
        <w:t>实现</w:t>
      </w:r>
      <w:r w:rsidRPr="009D4981">
        <w:rPr>
          <w:rFonts w:asciiTheme="minorEastAsia" w:hAnsiTheme="minorEastAsia" w:cs="宋体"/>
          <w:kern w:val="0"/>
          <w:sz w:val="30"/>
          <w:szCs w:val="30"/>
        </w:rPr>
        <w:t>增加值</w:t>
      </w:r>
      <w:r w:rsidR="001C1C7F" w:rsidRPr="009D4981">
        <w:rPr>
          <w:rFonts w:asciiTheme="minorEastAsia" w:hAnsiTheme="minorEastAsia" w:cs="宋体" w:hint="eastAsia"/>
          <w:kern w:val="0"/>
          <w:sz w:val="30"/>
          <w:szCs w:val="30"/>
        </w:rPr>
        <w:t>465555万元，</w:t>
      </w:r>
      <w:r w:rsidRPr="009D4981">
        <w:rPr>
          <w:rFonts w:asciiTheme="minorEastAsia" w:hAnsiTheme="minorEastAsia" w:cs="宋体"/>
          <w:kern w:val="0"/>
          <w:sz w:val="30"/>
          <w:szCs w:val="30"/>
        </w:rPr>
        <w:t>同比下降</w:t>
      </w:r>
      <w:r w:rsidR="001C1C7F" w:rsidRPr="009D4981">
        <w:rPr>
          <w:rFonts w:asciiTheme="minorEastAsia" w:hAnsiTheme="minorEastAsia" w:cs="宋体" w:hint="eastAsia"/>
          <w:kern w:val="0"/>
          <w:sz w:val="30"/>
          <w:szCs w:val="30"/>
        </w:rPr>
        <w:t>2.6</w:t>
      </w:r>
      <w:r w:rsidRPr="009D4981">
        <w:rPr>
          <w:rFonts w:asciiTheme="minorEastAsia" w:hAnsiTheme="minorEastAsia" w:cs="宋体"/>
          <w:kern w:val="0"/>
          <w:sz w:val="30"/>
          <w:szCs w:val="30"/>
        </w:rPr>
        <w:t>%。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t>图3 2011-2015年规模以上工业增加值增长速度</w:t>
      </w:r>
    </w:p>
    <w:p w:rsidR="00590DD1" w:rsidRPr="009D4981" w:rsidRDefault="001C1C7F" w:rsidP="00BF31C5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Theme="minorEastAsia" w:hAnsiTheme="minorEastAsia" w:cs="宋体"/>
          <w:kern w:val="0"/>
          <w:sz w:val="30"/>
          <w:szCs w:val="30"/>
        </w:rPr>
      </w:pPr>
      <w:r w:rsidRPr="009D4981">
        <w:rPr>
          <w:rFonts w:asciiTheme="minorEastAsia" w:hAnsiTheme="minorEastAsia" w:cs="宋体"/>
          <w:noProof/>
          <w:kern w:val="0"/>
          <w:sz w:val="30"/>
          <w:szCs w:val="30"/>
        </w:rPr>
        <w:drawing>
          <wp:inline distT="0" distB="0" distL="0" distR="0">
            <wp:extent cx="5276850" cy="2200275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0DD1" w:rsidRPr="00253D85" w:rsidRDefault="00590DD1" w:rsidP="00BF31C5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lastRenderedPageBreak/>
        <w:t>表3 2015年规模以上工业增加值增长速度</w:t>
      </w: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25"/>
        <w:gridCol w:w="1740"/>
      </w:tblGrid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center"/>
            <w:hideMark/>
          </w:tcPr>
          <w:p w:rsidR="00590DD1" w:rsidRPr="009B483A" w:rsidRDefault="00590DD1" w:rsidP="00CB299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 xml:space="preserve">指 </w:t>
            </w:r>
            <w:r w:rsidR="00CB299F"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比上年增长%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规模以上工业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590DD1" w:rsidP="00BF31C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-</w:t>
            </w:r>
            <w:r w:rsidR="00BF31C5"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2.6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其中：轻工业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-17.1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9B483A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重工业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-2.6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其中：国有及国有控股企业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-14.6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其中：集体企业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-2.1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股份制企业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-1.5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外商及港澳台商投资企业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-22.2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其中：煤炭工业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-2.8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9B483A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焦炭工业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14622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2.0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9B483A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电力工业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14622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62.7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9B483A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化学工业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14622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-6.8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9B483A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建材工业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14622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24.2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B14622" w:rsidP="009B483A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农副食品加工业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14622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-17.5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B14622" w:rsidP="009B483A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燃气生产和供应业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14622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2.6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B14622" w:rsidP="009B483A">
            <w:pPr>
              <w:widowControl/>
              <w:spacing w:before="100" w:beforeAutospacing="1" w:after="100" w:afterAutospacing="1" w:line="330" w:lineRule="atLeast"/>
              <w:ind w:firstLineChars="300" w:firstLine="84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黑色金属冶炼和压延加工业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14622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14.4</w:t>
            </w:r>
          </w:p>
        </w:tc>
      </w:tr>
    </w:tbl>
    <w:p w:rsidR="00590DD1" w:rsidRPr="009D4981" w:rsidRDefault="00F406EA" w:rsidP="009D4981">
      <w:pPr>
        <w:widowControl/>
        <w:spacing w:before="100" w:beforeAutospacing="1" w:after="100" w:afterAutospacing="1" w:line="420" w:lineRule="atLeast"/>
        <w:ind w:firstLine="616"/>
        <w:jc w:val="left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>规模以上</w:t>
      </w:r>
      <w:r w:rsidR="00590DD1" w:rsidRPr="009D4981">
        <w:rPr>
          <w:rFonts w:asciiTheme="minorEastAsia" w:hAnsiTheme="minorEastAsia" w:cs="宋体"/>
          <w:kern w:val="0"/>
          <w:sz w:val="30"/>
          <w:szCs w:val="30"/>
        </w:rPr>
        <w:t>工业企业原煤产量</w:t>
      </w:r>
      <w:r>
        <w:rPr>
          <w:rFonts w:ascii="仿宋" w:eastAsia="仿宋" w:hAnsi="仿宋" w:cs="Times New Roman" w:hint="eastAsia"/>
          <w:sz w:val="32"/>
          <w:szCs w:val="32"/>
        </w:rPr>
        <w:t>773.6</w:t>
      </w:r>
      <w:r w:rsidR="00590DD1" w:rsidRPr="009D4981">
        <w:rPr>
          <w:rFonts w:asciiTheme="minorEastAsia" w:hAnsiTheme="minorEastAsia" w:cs="宋体"/>
          <w:kern w:val="0"/>
          <w:sz w:val="30"/>
          <w:szCs w:val="30"/>
        </w:rPr>
        <w:t>万吨，增长</w:t>
      </w:r>
      <w:r w:rsidR="00B14622" w:rsidRPr="009D4981">
        <w:rPr>
          <w:rFonts w:asciiTheme="minorEastAsia" w:hAnsiTheme="minorEastAsia" w:cs="宋体" w:hint="eastAsia"/>
          <w:kern w:val="0"/>
          <w:sz w:val="30"/>
          <w:szCs w:val="30"/>
        </w:rPr>
        <w:t>0.1</w:t>
      </w:r>
      <w:r w:rsidR="009D4981" w:rsidRPr="009D4981">
        <w:rPr>
          <w:rFonts w:asciiTheme="minorEastAsia" w:hAnsiTheme="minorEastAsia" w:cs="宋体"/>
          <w:kern w:val="0"/>
          <w:sz w:val="30"/>
          <w:szCs w:val="30"/>
        </w:rPr>
        <w:t>%</w:t>
      </w:r>
      <w:r w:rsidR="009D4981" w:rsidRPr="009D4981">
        <w:rPr>
          <w:rFonts w:asciiTheme="minorEastAsia" w:hAnsiTheme="minorEastAsia" w:cs="宋体" w:hint="eastAsia"/>
          <w:kern w:val="0"/>
          <w:sz w:val="30"/>
          <w:szCs w:val="30"/>
        </w:rPr>
        <w:t>；洗精煤</w:t>
      </w:r>
      <w:r w:rsidR="009D4981" w:rsidRPr="009D4981">
        <w:rPr>
          <w:rFonts w:asciiTheme="minorEastAsia" w:hAnsiTheme="minorEastAsia" w:cs="宋体"/>
          <w:kern w:val="0"/>
          <w:sz w:val="30"/>
          <w:szCs w:val="30"/>
        </w:rPr>
        <w:t>产量</w:t>
      </w:r>
      <w:r w:rsidR="009D4981" w:rsidRPr="009D4981">
        <w:rPr>
          <w:rFonts w:asciiTheme="minorEastAsia" w:hAnsiTheme="minorEastAsia" w:cs="宋体" w:hint="eastAsia"/>
          <w:kern w:val="0"/>
          <w:sz w:val="30"/>
          <w:szCs w:val="30"/>
        </w:rPr>
        <w:t>2033.5</w:t>
      </w:r>
      <w:r w:rsidR="009D4981" w:rsidRPr="009D4981">
        <w:rPr>
          <w:rFonts w:asciiTheme="minorEastAsia" w:hAnsiTheme="minorEastAsia" w:cs="宋体"/>
          <w:kern w:val="0"/>
          <w:sz w:val="30"/>
          <w:szCs w:val="30"/>
        </w:rPr>
        <w:t>万吨，下降3.</w:t>
      </w:r>
      <w:r w:rsidR="009D4981" w:rsidRPr="009D4981">
        <w:rPr>
          <w:rFonts w:asciiTheme="minorEastAsia" w:hAnsiTheme="minorEastAsia" w:cs="宋体" w:hint="eastAsia"/>
          <w:kern w:val="0"/>
          <w:sz w:val="30"/>
          <w:szCs w:val="30"/>
        </w:rPr>
        <w:t>2</w:t>
      </w:r>
      <w:r w:rsidR="009D4981" w:rsidRPr="009D4981">
        <w:rPr>
          <w:rFonts w:asciiTheme="minorEastAsia" w:hAnsiTheme="minorEastAsia" w:cs="宋体"/>
          <w:kern w:val="0"/>
          <w:sz w:val="30"/>
          <w:szCs w:val="30"/>
        </w:rPr>
        <w:t>%</w:t>
      </w:r>
      <w:r w:rsidR="00590DD1" w:rsidRPr="009D4981">
        <w:rPr>
          <w:rFonts w:asciiTheme="minorEastAsia" w:hAnsiTheme="minorEastAsia" w:cs="宋体"/>
          <w:kern w:val="0"/>
          <w:sz w:val="30"/>
          <w:szCs w:val="30"/>
        </w:rPr>
        <w:t>；焦炭产量</w:t>
      </w:r>
      <w:r w:rsidR="009D4981" w:rsidRPr="009D4981">
        <w:rPr>
          <w:rFonts w:asciiTheme="minorEastAsia" w:hAnsiTheme="minorEastAsia" w:cs="宋体" w:hint="eastAsia"/>
          <w:kern w:val="0"/>
          <w:sz w:val="30"/>
          <w:szCs w:val="30"/>
        </w:rPr>
        <w:t>410.2</w:t>
      </w:r>
      <w:r w:rsidR="00590DD1" w:rsidRPr="009D4981">
        <w:rPr>
          <w:rFonts w:asciiTheme="minorEastAsia" w:hAnsiTheme="minorEastAsia" w:cs="宋体"/>
          <w:kern w:val="0"/>
          <w:sz w:val="30"/>
          <w:szCs w:val="30"/>
        </w:rPr>
        <w:t>万吨，下降</w:t>
      </w:r>
      <w:r w:rsidR="009D4981" w:rsidRPr="009D4981">
        <w:rPr>
          <w:rFonts w:asciiTheme="minorEastAsia" w:hAnsiTheme="minorEastAsia" w:cs="宋体" w:hint="eastAsia"/>
          <w:kern w:val="0"/>
          <w:sz w:val="30"/>
          <w:szCs w:val="30"/>
        </w:rPr>
        <w:t>0.9</w:t>
      </w:r>
      <w:r w:rsidR="00590DD1" w:rsidRPr="009D4981">
        <w:rPr>
          <w:rFonts w:asciiTheme="minorEastAsia" w:hAnsiTheme="minorEastAsia" w:cs="宋体"/>
          <w:kern w:val="0"/>
          <w:sz w:val="30"/>
          <w:szCs w:val="30"/>
        </w:rPr>
        <w:t>%；</w:t>
      </w:r>
      <w:r w:rsidR="009D4981" w:rsidRPr="009D4981">
        <w:rPr>
          <w:rFonts w:asciiTheme="minorEastAsia" w:hAnsiTheme="minorEastAsia" w:cs="宋体"/>
          <w:kern w:val="0"/>
          <w:sz w:val="30"/>
          <w:szCs w:val="30"/>
        </w:rPr>
        <w:t>发电量</w:t>
      </w:r>
      <w:r w:rsidR="009D4981" w:rsidRPr="009D4981">
        <w:rPr>
          <w:rFonts w:asciiTheme="minorEastAsia" w:hAnsiTheme="minorEastAsia" w:cs="宋体" w:hint="eastAsia"/>
          <w:kern w:val="0"/>
          <w:sz w:val="30"/>
          <w:szCs w:val="30"/>
        </w:rPr>
        <w:t>34</w:t>
      </w:r>
      <w:r w:rsidR="009D4981">
        <w:rPr>
          <w:rFonts w:asciiTheme="minorEastAsia" w:hAnsiTheme="minorEastAsia" w:cs="宋体" w:hint="eastAsia"/>
          <w:kern w:val="0"/>
          <w:sz w:val="30"/>
          <w:szCs w:val="30"/>
        </w:rPr>
        <w:t>39.7</w:t>
      </w:r>
      <w:r w:rsidR="009D4981" w:rsidRPr="009D4981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="009D4981" w:rsidRPr="009D4981">
        <w:rPr>
          <w:rFonts w:asciiTheme="minorEastAsia" w:hAnsiTheme="minorEastAsia" w:cs="宋体"/>
          <w:kern w:val="0"/>
          <w:sz w:val="30"/>
          <w:szCs w:val="30"/>
        </w:rPr>
        <w:t>千瓦时，</w:t>
      </w:r>
      <w:r w:rsidR="009D4981" w:rsidRPr="009D4981">
        <w:rPr>
          <w:rFonts w:asciiTheme="minorEastAsia" w:hAnsiTheme="minorEastAsia" w:cs="宋体" w:hint="eastAsia"/>
          <w:kern w:val="0"/>
          <w:sz w:val="30"/>
          <w:szCs w:val="30"/>
        </w:rPr>
        <w:t>增长239.7</w:t>
      </w:r>
      <w:r w:rsidR="009D4981" w:rsidRPr="009D4981">
        <w:rPr>
          <w:rFonts w:asciiTheme="minorEastAsia" w:hAnsiTheme="minorEastAsia" w:cs="宋体"/>
          <w:kern w:val="0"/>
          <w:sz w:val="30"/>
          <w:szCs w:val="30"/>
        </w:rPr>
        <w:t>%</w:t>
      </w:r>
      <w:r w:rsidR="00590DD1" w:rsidRPr="009D4981">
        <w:rPr>
          <w:rFonts w:asciiTheme="minorEastAsia" w:hAnsiTheme="minorEastAsia" w:cs="宋体"/>
          <w:kern w:val="0"/>
          <w:sz w:val="30"/>
          <w:szCs w:val="30"/>
        </w:rPr>
        <w:t>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lastRenderedPageBreak/>
        <w:t>表4 2015年规模以上工业主要工业产品产量及其增长速度</w:t>
      </w: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1830"/>
        <w:gridCol w:w="1830"/>
        <w:gridCol w:w="2010"/>
      </w:tblGrid>
      <w:tr w:rsidR="00590DD1" w:rsidRPr="00C84495" w:rsidTr="009B483A">
        <w:trPr>
          <w:trHeight w:hRule="exact" w:val="681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单 位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产 量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比上年增长%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原煤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万吨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773.6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0.1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洗精煤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万吨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2033.5</w:t>
            </w:r>
            <w:r w:rsidR="00590DD1"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-3.2</w:t>
            </w:r>
            <w:r w:rsidR="00590DD1"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焦炭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万吨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410.2</w:t>
            </w:r>
            <w:r w:rsidR="00590DD1"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590DD1" w:rsidP="009D498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-</w:t>
            </w:r>
            <w:r w:rsidR="009D4981"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0.9</w:t>
            </w: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发电量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万</w:t>
            </w:r>
            <w:r w:rsidR="00590DD1"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千瓦时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9D4981" w:rsidP="009D498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3439.7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239.7</w:t>
            </w:r>
            <w:r w:rsidR="00590DD1"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1-4丁二醇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63163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-8.5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聚乙烯醇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45600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12.2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粗苯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51022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3.7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纯苯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75376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1.9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精甲醇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229587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-31.0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铁铸件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215203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9.8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煤气生产量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CB676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万</w:t>
            </w:r>
            <w:r w:rsidR="00CB6768"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立方米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81787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-6.3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化肥（折纯）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8899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5.1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塑料制品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1712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-16.9</w:t>
            </w:r>
          </w:p>
        </w:tc>
      </w:tr>
    </w:tbl>
    <w:p w:rsidR="00590DD1" w:rsidRPr="00514DCB" w:rsidRDefault="00590DD1" w:rsidP="00275E0D">
      <w:pPr>
        <w:widowControl/>
        <w:spacing w:before="100" w:beforeAutospacing="1" w:after="100" w:afterAutospacing="1" w:line="420" w:lineRule="atLeast"/>
        <w:ind w:firstLine="616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514DCB">
        <w:rPr>
          <w:rFonts w:asciiTheme="minorEastAsia" w:hAnsiTheme="minorEastAsia" w:cs="宋体"/>
          <w:kern w:val="0"/>
          <w:sz w:val="30"/>
          <w:szCs w:val="30"/>
        </w:rPr>
        <w:t>规模以上工业企业实现主营业务收入</w:t>
      </w:r>
      <w:r w:rsidR="00275E0D" w:rsidRPr="00514DCB">
        <w:rPr>
          <w:rFonts w:asciiTheme="minorEastAsia" w:hAnsiTheme="minorEastAsia" w:cs="宋体" w:hint="eastAsia"/>
          <w:kern w:val="0"/>
          <w:sz w:val="30"/>
          <w:szCs w:val="30"/>
        </w:rPr>
        <w:t>3174190万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元，下降</w:t>
      </w:r>
      <w:r w:rsidR="00275E0D" w:rsidRPr="00514DCB">
        <w:rPr>
          <w:rFonts w:asciiTheme="minorEastAsia" w:hAnsiTheme="minorEastAsia" w:cs="宋体" w:hint="eastAsia"/>
          <w:kern w:val="0"/>
          <w:sz w:val="30"/>
          <w:szCs w:val="30"/>
        </w:rPr>
        <w:t>3.0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%。其中，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炼焦、化学原料制造业、金属冶炼业、电力热力生产供应业和燃气生产供应业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分别实现主营业务收入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766376万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732059万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135333万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7499万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元和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14870万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元，分别增长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5.6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32.6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11.7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20.2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%和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16.9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%；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煤炭、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农副食品加工业、木材加工业、橡胶和塑料制品业、电气机械和器材制造业和金属制品设机械设备修理业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分别实现主营业务收入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1489664万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lastRenderedPageBreak/>
        <w:t>8239万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951万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元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、2626万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元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、1823万元和8535万元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，分别下降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17.9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AA0BA3" w:rsidRPr="00514DCB">
        <w:rPr>
          <w:rFonts w:asciiTheme="minorEastAsia" w:hAnsiTheme="minorEastAsia" w:cs="宋体" w:hint="eastAsia"/>
          <w:kern w:val="0"/>
          <w:sz w:val="30"/>
          <w:szCs w:val="30"/>
        </w:rPr>
        <w:t>27.3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AA0BA3" w:rsidRPr="00514DCB">
        <w:rPr>
          <w:rFonts w:asciiTheme="minorEastAsia" w:hAnsiTheme="minorEastAsia" w:cs="宋体" w:hint="eastAsia"/>
          <w:kern w:val="0"/>
          <w:sz w:val="30"/>
          <w:szCs w:val="30"/>
        </w:rPr>
        <w:t>66.1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%</w:t>
      </w:r>
      <w:r w:rsidR="00AA0BA3" w:rsidRPr="00514DCB">
        <w:rPr>
          <w:rFonts w:asciiTheme="minorEastAsia" w:hAnsiTheme="minorEastAsia" w:cs="宋体" w:hint="eastAsia"/>
          <w:kern w:val="0"/>
          <w:sz w:val="30"/>
          <w:szCs w:val="30"/>
        </w:rPr>
        <w:t>、23.0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%</w:t>
      </w:r>
      <w:r w:rsidR="00AA0BA3" w:rsidRPr="00514DCB">
        <w:rPr>
          <w:rFonts w:asciiTheme="minorEastAsia" w:hAnsiTheme="minorEastAsia" w:cs="宋体" w:hint="eastAsia"/>
          <w:kern w:val="0"/>
          <w:sz w:val="30"/>
          <w:szCs w:val="30"/>
        </w:rPr>
        <w:t>、77.2%和26.5%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。</w:t>
      </w:r>
    </w:p>
    <w:p w:rsidR="00590DD1" w:rsidRPr="00304F2C" w:rsidRDefault="00590DD1" w:rsidP="00275E0D">
      <w:pPr>
        <w:widowControl/>
        <w:spacing w:before="100" w:beforeAutospacing="1" w:after="100" w:afterAutospacing="1" w:line="420" w:lineRule="atLeast"/>
        <w:ind w:firstLine="616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304F2C">
        <w:rPr>
          <w:rFonts w:asciiTheme="minorEastAsia" w:hAnsiTheme="minorEastAsia" w:cs="宋体"/>
          <w:kern w:val="0"/>
          <w:sz w:val="30"/>
          <w:szCs w:val="30"/>
        </w:rPr>
        <w:t>规模以上工业实现</w:t>
      </w:r>
      <w:r w:rsidR="006A0891" w:rsidRPr="00304F2C">
        <w:rPr>
          <w:rFonts w:asciiTheme="minorEastAsia" w:hAnsiTheme="minorEastAsia" w:cs="宋体" w:hint="eastAsia"/>
          <w:kern w:val="0"/>
          <w:sz w:val="30"/>
          <w:szCs w:val="30"/>
        </w:rPr>
        <w:t>税金156477万</w:t>
      </w:r>
      <w:r w:rsidRPr="00304F2C">
        <w:rPr>
          <w:rFonts w:asciiTheme="minorEastAsia" w:hAnsiTheme="minorEastAsia" w:cs="宋体"/>
          <w:kern w:val="0"/>
          <w:sz w:val="30"/>
          <w:szCs w:val="30"/>
        </w:rPr>
        <w:t>元，下降</w:t>
      </w:r>
      <w:r w:rsidR="006A0891" w:rsidRPr="00304F2C">
        <w:rPr>
          <w:rFonts w:asciiTheme="minorEastAsia" w:hAnsiTheme="minorEastAsia" w:cs="宋体" w:hint="eastAsia"/>
          <w:kern w:val="0"/>
          <w:sz w:val="30"/>
          <w:szCs w:val="30"/>
        </w:rPr>
        <w:t>21.8</w:t>
      </w:r>
      <w:r w:rsidRPr="00304F2C">
        <w:rPr>
          <w:rFonts w:asciiTheme="minorEastAsia" w:hAnsiTheme="minorEastAsia" w:cs="宋体"/>
          <w:kern w:val="0"/>
          <w:sz w:val="30"/>
          <w:szCs w:val="30"/>
        </w:rPr>
        <w:t>%；实现利润由上年</w:t>
      </w:r>
      <w:r w:rsidR="00304F2C">
        <w:rPr>
          <w:rFonts w:asciiTheme="minorEastAsia" w:hAnsiTheme="minorEastAsia" w:cs="宋体" w:hint="eastAsia"/>
          <w:kern w:val="0"/>
          <w:sz w:val="30"/>
          <w:szCs w:val="30"/>
        </w:rPr>
        <w:t>39990</w:t>
      </w:r>
      <w:r w:rsidR="006A0891" w:rsidRPr="00304F2C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Pr="00304F2C">
        <w:rPr>
          <w:rFonts w:asciiTheme="minorEastAsia" w:hAnsiTheme="minorEastAsia" w:cs="宋体"/>
          <w:kern w:val="0"/>
          <w:sz w:val="30"/>
          <w:szCs w:val="30"/>
        </w:rPr>
        <w:t>元转为亏</w:t>
      </w:r>
      <w:r w:rsidR="006A0891" w:rsidRPr="00304F2C">
        <w:rPr>
          <w:rFonts w:asciiTheme="minorEastAsia" w:hAnsiTheme="minorEastAsia" w:cs="宋体" w:hint="eastAsia"/>
          <w:kern w:val="0"/>
          <w:sz w:val="30"/>
          <w:szCs w:val="30"/>
        </w:rPr>
        <w:t>55696万</w:t>
      </w:r>
      <w:r w:rsidRPr="00304F2C">
        <w:rPr>
          <w:rFonts w:asciiTheme="minorEastAsia" w:hAnsiTheme="minorEastAsia" w:cs="宋体"/>
          <w:kern w:val="0"/>
          <w:sz w:val="30"/>
          <w:szCs w:val="30"/>
        </w:rPr>
        <w:t>元。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t>表5 2015年规模以上工业企业利润总额</w:t>
      </w:r>
    </w:p>
    <w:p w:rsidR="00590DD1" w:rsidRPr="00253D85" w:rsidRDefault="00304F2C" w:rsidP="00304F2C">
      <w:pPr>
        <w:widowControl/>
        <w:spacing w:before="100" w:beforeAutospacing="1" w:after="100" w:afterAutospacing="1" w:line="420" w:lineRule="atLeast"/>
        <w:ind w:right="300" w:firstLine="450"/>
        <w:jc w:val="right"/>
        <w:rPr>
          <w:rFonts w:asciiTheme="minorEastAsia" w:hAnsiTheme="minorEastAsia" w:cs="宋体"/>
          <w:kern w:val="0"/>
          <w:szCs w:val="21"/>
        </w:rPr>
      </w:pPr>
      <w:r w:rsidRPr="00253D85">
        <w:rPr>
          <w:rFonts w:asciiTheme="minorEastAsia" w:hAnsiTheme="minorEastAsia" w:cs="宋体"/>
          <w:kern w:val="0"/>
          <w:szCs w:val="21"/>
        </w:rPr>
        <w:t>单位：亿元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10"/>
        <w:gridCol w:w="1553"/>
        <w:gridCol w:w="1543"/>
      </w:tblGrid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指 标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2015年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2014年</w:t>
            </w:r>
          </w:p>
        </w:tc>
      </w:tr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规模以上工业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-5.57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4.00</w:t>
            </w:r>
          </w:p>
        </w:tc>
      </w:tr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CB299F">
            <w:pPr>
              <w:widowControl/>
              <w:spacing w:before="100" w:beforeAutospacing="1" w:after="100" w:afterAutospacing="1" w:line="330" w:lineRule="atLeast"/>
              <w:ind w:firstLineChars="100" w:firstLine="3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其中：国有控股企业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-10.88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-0.78</w:t>
            </w:r>
          </w:p>
        </w:tc>
      </w:tr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CB299F">
            <w:pPr>
              <w:widowControl/>
              <w:spacing w:before="100" w:beforeAutospacing="1" w:after="100" w:afterAutospacing="1" w:line="330" w:lineRule="atLeast"/>
              <w:ind w:firstLineChars="100" w:firstLine="3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其中：集体企业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0.68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0.87</w:t>
            </w:r>
          </w:p>
        </w:tc>
      </w:tr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股份制企业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-7.93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1.15</w:t>
            </w:r>
          </w:p>
        </w:tc>
      </w:tr>
      <w:tr w:rsidR="00C81314" w:rsidRPr="00C84495" w:rsidTr="00C81314">
        <w:trPr>
          <w:trHeight w:val="671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外商及港澳台商投资企业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0.05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84495" w:rsidRDefault="00304F2C" w:rsidP="001B5F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0.21</w:t>
            </w:r>
          </w:p>
        </w:tc>
      </w:tr>
    </w:tbl>
    <w:p w:rsidR="00493E2A" w:rsidRPr="005A04FA" w:rsidRDefault="00590DD1" w:rsidP="005A04FA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建筑业实现</w:t>
      </w:r>
      <w:r w:rsidR="0001433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总产值</w:t>
      </w:r>
      <w:r w:rsidR="005A04FA" w:rsidRPr="005A04F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28068万</w:t>
      </w: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元，比上年下降</w:t>
      </w:r>
      <w:r w:rsidR="005A04FA" w:rsidRPr="005A04F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28.8</w:t>
      </w: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9B483A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9B483A">
        <w:rPr>
          <w:rFonts w:ascii="黑体" w:eastAsia="黑体" w:hAnsi="黑体" w:cs="宋体"/>
          <w:kern w:val="0"/>
          <w:sz w:val="36"/>
          <w:szCs w:val="36"/>
        </w:rPr>
        <w:t>四、固定资产投资</w:t>
      </w:r>
    </w:p>
    <w:p w:rsidR="00590DD1" w:rsidRPr="00D64F95" w:rsidRDefault="00590DD1" w:rsidP="0030735D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D64F95">
        <w:rPr>
          <w:rFonts w:asciiTheme="minorEastAsia" w:hAnsiTheme="minorEastAsia" w:cs="宋体"/>
          <w:kern w:val="0"/>
          <w:sz w:val="30"/>
          <w:szCs w:val="30"/>
        </w:rPr>
        <w:t>全年全</w:t>
      </w:r>
      <w:r w:rsidR="00724A50" w:rsidRPr="00D64F95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固定资产投资完成</w:t>
      </w:r>
      <w:r w:rsidR="00D45C9B" w:rsidRPr="00D64F95">
        <w:rPr>
          <w:rFonts w:asciiTheme="minorEastAsia" w:hAnsiTheme="minorEastAsia" w:cs="宋体" w:hint="eastAsia"/>
          <w:kern w:val="0"/>
          <w:sz w:val="30"/>
          <w:szCs w:val="30"/>
        </w:rPr>
        <w:t>1638015万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F406EA">
        <w:rPr>
          <w:rFonts w:asciiTheme="minorEastAsia" w:hAnsiTheme="minorEastAsia" w:cs="宋体" w:hint="eastAsia"/>
          <w:kern w:val="0"/>
          <w:sz w:val="30"/>
          <w:szCs w:val="30"/>
        </w:rPr>
        <w:t>16.0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%。其中，国有及国有控股投资完成</w:t>
      </w:r>
      <w:r w:rsidR="00D45C9B" w:rsidRPr="00D64F95">
        <w:rPr>
          <w:rFonts w:asciiTheme="minorEastAsia" w:hAnsiTheme="minorEastAsia" w:cs="宋体" w:hint="eastAsia"/>
          <w:kern w:val="0"/>
          <w:sz w:val="30"/>
          <w:szCs w:val="30"/>
        </w:rPr>
        <w:t>307224万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元，下降</w:t>
      </w:r>
      <w:r w:rsidR="00D45C9B" w:rsidRPr="00D64F95">
        <w:rPr>
          <w:rFonts w:asciiTheme="minorEastAsia" w:hAnsiTheme="minorEastAsia" w:cs="宋体" w:hint="eastAsia"/>
          <w:kern w:val="0"/>
          <w:sz w:val="30"/>
          <w:szCs w:val="30"/>
        </w:rPr>
        <w:t>46.1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%</w:t>
      </w:r>
      <w:r w:rsidR="00D45C9B" w:rsidRPr="00D64F95">
        <w:rPr>
          <w:rFonts w:asciiTheme="minorEastAsia" w:hAnsiTheme="minorEastAsia" w:cs="宋体" w:hint="eastAsia"/>
          <w:kern w:val="0"/>
          <w:sz w:val="30"/>
          <w:szCs w:val="30"/>
        </w:rPr>
        <w:t>；</w:t>
      </w:r>
      <w:r w:rsidR="00D45C9B" w:rsidRPr="00D64F95">
        <w:rPr>
          <w:rFonts w:asciiTheme="minorEastAsia" w:hAnsiTheme="minorEastAsia" w:cs="宋体"/>
          <w:kern w:val="0"/>
          <w:sz w:val="30"/>
          <w:szCs w:val="30"/>
        </w:rPr>
        <w:t>内资企业投资完成</w:t>
      </w:r>
      <w:r w:rsidR="00D45C9B" w:rsidRPr="00D64F95">
        <w:rPr>
          <w:rFonts w:asciiTheme="minorEastAsia" w:hAnsiTheme="minorEastAsia" w:cs="宋体" w:hint="eastAsia"/>
          <w:kern w:val="0"/>
          <w:sz w:val="30"/>
          <w:szCs w:val="30"/>
        </w:rPr>
        <w:t>1556904万</w:t>
      </w:r>
      <w:r w:rsidR="00D45C9B" w:rsidRPr="00D64F95">
        <w:rPr>
          <w:rFonts w:asciiTheme="minorEastAsia" w:hAnsiTheme="minorEastAsia" w:cs="宋体"/>
          <w:kern w:val="0"/>
          <w:sz w:val="30"/>
          <w:szCs w:val="30"/>
        </w:rPr>
        <w:t>元，增长13.</w:t>
      </w:r>
      <w:r w:rsidR="00D45C9B" w:rsidRPr="00D64F95">
        <w:rPr>
          <w:rFonts w:asciiTheme="minorEastAsia" w:hAnsiTheme="minorEastAsia" w:cs="宋体" w:hint="eastAsia"/>
          <w:kern w:val="0"/>
          <w:sz w:val="30"/>
          <w:szCs w:val="30"/>
        </w:rPr>
        <w:t>0</w:t>
      </w:r>
      <w:r w:rsidR="00D45C9B" w:rsidRPr="00D64F95">
        <w:rPr>
          <w:rFonts w:asciiTheme="minorEastAsia" w:hAnsiTheme="minorEastAsia" w:cs="宋体"/>
          <w:kern w:val="0"/>
          <w:sz w:val="30"/>
          <w:szCs w:val="30"/>
        </w:rPr>
        <w:t>%；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lastRenderedPageBreak/>
        <w:t>图4 2011-2015年固定资产投资及其增长速度</w:t>
      </w:r>
    </w:p>
    <w:p w:rsidR="00590DD1" w:rsidRPr="00724A50" w:rsidRDefault="00D45C9B" w:rsidP="00FE5633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Theme="minorEastAsia" w:hAnsiTheme="minorEastAsia" w:cs="宋体"/>
          <w:color w:val="FF0000"/>
          <w:kern w:val="0"/>
          <w:sz w:val="30"/>
          <w:szCs w:val="30"/>
        </w:rPr>
      </w:pPr>
      <w:r w:rsidRPr="00D45C9B">
        <w:rPr>
          <w:rFonts w:asciiTheme="minorEastAsia" w:hAnsiTheme="minorEastAsia" w:cs="宋体" w:hint="eastAsia"/>
          <w:noProof/>
          <w:color w:val="FF0000"/>
          <w:kern w:val="0"/>
          <w:sz w:val="30"/>
          <w:szCs w:val="30"/>
        </w:rPr>
        <w:drawing>
          <wp:inline distT="0" distB="0" distL="0" distR="0">
            <wp:extent cx="4743450" cy="3228975"/>
            <wp:effectExtent l="0" t="0" r="0" b="0"/>
            <wp:docPr id="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83A" w:rsidRDefault="00590DD1" w:rsidP="009B483A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D64F95">
        <w:rPr>
          <w:rFonts w:asciiTheme="minorEastAsia" w:hAnsiTheme="minorEastAsia" w:cs="宋体"/>
          <w:kern w:val="0"/>
          <w:sz w:val="30"/>
          <w:szCs w:val="30"/>
        </w:rPr>
        <w:t>从三次产业看，第一产业投资完成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229023万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128.6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%；第二产业投资完成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572562万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元，下降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6.9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%；第三产业投资完成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836430万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20.1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%</w:t>
      </w:r>
      <w:r w:rsidR="00747289" w:rsidRPr="00D64F95">
        <w:rPr>
          <w:rFonts w:asciiTheme="minorEastAsia" w:hAnsiTheme="minorEastAsia" w:cs="宋体"/>
          <w:kern w:val="0"/>
          <w:sz w:val="30"/>
          <w:szCs w:val="30"/>
        </w:rPr>
        <w:t>。第二产业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全部为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工业投资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，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其中，煤炭工业投资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145053万元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，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增长5.4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%，非煤产业投资</w:t>
      </w:r>
      <w:r w:rsidR="00747289" w:rsidRPr="00D64F95">
        <w:rPr>
          <w:rFonts w:asciiTheme="minorEastAsia" w:hAnsiTheme="minorEastAsia" w:cs="宋体" w:hint="eastAsia"/>
          <w:kern w:val="0"/>
          <w:sz w:val="30"/>
          <w:szCs w:val="30"/>
        </w:rPr>
        <w:t>427509万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元，</w:t>
      </w:r>
      <w:r w:rsidR="00D64F95" w:rsidRPr="00D64F95">
        <w:rPr>
          <w:rFonts w:asciiTheme="minorEastAsia" w:hAnsiTheme="minorEastAsia" w:cs="宋体" w:hint="eastAsia"/>
          <w:kern w:val="0"/>
          <w:sz w:val="30"/>
          <w:szCs w:val="30"/>
        </w:rPr>
        <w:t>下降10.5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%。传统产业（煤炭、焦炭、冶金、电力）投资合计</w:t>
      </w:r>
      <w:r w:rsidR="00D64F95" w:rsidRPr="00D64F95">
        <w:rPr>
          <w:rFonts w:asciiTheme="minorEastAsia" w:hAnsiTheme="minorEastAsia" w:cs="宋体" w:hint="eastAsia"/>
          <w:kern w:val="0"/>
          <w:sz w:val="30"/>
          <w:szCs w:val="30"/>
        </w:rPr>
        <w:t>261460万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元，</w:t>
      </w:r>
      <w:r w:rsidR="00D64F95" w:rsidRPr="00D64F95">
        <w:rPr>
          <w:rFonts w:asciiTheme="minorEastAsia" w:hAnsiTheme="minorEastAsia" w:cs="宋体" w:hint="eastAsia"/>
          <w:kern w:val="0"/>
          <w:sz w:val="30"/>
          <w:szCs w:val="30"/>
        </w:rPr>
        <w:t>增长38.6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%，非传统产业（食品、建材、化工、装备制造等）投资合计</w:t>
      </w:r>
      <w:r w:rsidR="00D64F95" w:rsidRPr="00D64F95">
        <w:rPr>
          <w:rFonts w:asciiTheme="minorEastAsia" w:hAnsiTheme="minorEastAsia" w:cs="宋体" w:hint="eastAsia"/>
          <w:kern w:val="0"/>
          <w:sz w:val="30"/>
          <w:szCs w:val="30"/>
        </w:rPr>
        <w:t>311102万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D64F95" w:rsidRPr="00D64F95">
        <w:rPr>
          <w:rFonts w:asciiTheme="minorEastAsia" w:hAnsiTheme="minorEastAsia" w:cs="宋体" w:hint="eastAsia"/>
          <w:kern w:val="0"/>
          <w:sz w:val="30"/>
          <w:szCs w:val="30"/>
        </w:rPr>
        <w:t>27.1</w:t>
      </w:r>
      <w:r w:rsidRPr="00D64F95">
        <w:rPr>
          <w:rFonts w:asciiTheme="minorEastAsia" w:hAnsiTheme="minorEastAsia" w:cs="宋体"/>
          <w:kern w:val="0"/>
          <w:sz w:val="30"/>
          <w:szCs w:val="30"/>
        </w:rPr>
        <w:t>%。</w:t>
      </w:r>
    </w:p>
    <w:p w:rsidR="00590DD1" w:rsidRDefault="009B483A" w:rsidP="009B483A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0019A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全年全县在建固定资产投资项目</w:t>
      </w:r>
      <w:r w:rsidRPr="000019A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386</w:t>
      </w:r>
      <w:r w:rsidRPr="000019A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个。其中，亿元以上项目</w:t>
      </w:r>
      <w:r w:rsidRPr="000019A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18</w:t>
      </w:r>
      <w:r w:rsidRPr="000019A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个，计划总投资</w:t>
      </w:r>
      <w:r w:rsidRPr="000019A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1518574万</w:t>
      </w:r>
      <w:r w:rsidRPr="000019A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元，完成投资</w:t>
      </w:r>
      <w:r w:rsidRPr="000019A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259000万</w:t>
      </w:r>
      <w:r w:rsidRPr="000019A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元，占全县固定资产投资的比重为</w:t>
      </w:r>
      <w:r w:rsidRPr="000019A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15.8</w:t>
      </w:r>
      <w:r w:rsidRPr="000019A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9B483A" w:rsidRPr="009B483A" w:rsidRDefault="009B483A" w:rsidP="009B483A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lastRenderedPageBreak/>
        <w:t>表6 2015年分行业固定资产投资及其增长速度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right"/>
        <w:rPr>
          <w:rFonts w:asciiTheme="minorEastAsia" w:hAnsiTheme="minorEastAsia" w:cs="宋体"/>
          <w:kern w:val="0"/>
          <w:szCs w:val="21"/>
        </w:rPr>
      </w:pPr>
      <w:r w:rsidRPr="00253D85">
        <w:rPr>
          <w:rFonts w:asciiTheme="minorEastAsia" w:hAnsiTheme="minorEastAsia" w:cs="宋体"/>
          <w:kern w:val="0"/>
          <w:szCs w:val="21"/>
        </w:rPr>
        <w:t>单位：</w:t>
      </w:r>
      <w:r w:rsidR="00CA1FFC" w:rsidRPr="00253D85">
        <w:rPr>
          <w:rFonts w:asciiTheme="minorEastAsia" w:hAnsiTheme="minorEastAsia" w:cs="宋体" w:hint="eastAsia"/>
          <w:kern w:val="0"/>
          <w:szCs w:val="21"/>
        </w:rPr>
        <w:t>万</w:t>
      </w:r>
      <w:r w:rsidRPr="00253D85">
        <w:rPr>
          <w:rFonts w:asciiTheme="minorEastAsia" w:hAnsiTheme="minorEastAsia" w:cs="宋体"/>
          <w:kern w:val="0"/>
          <w:szCs w:val="21"/>
        </w:rPr>
        <w:t>元、%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15"/>
        <w:gridCol w:w="1740"/>
        <w:gridCol w:w="1980"/>
      </w:tblGrid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行 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投资额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比上年增长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总 计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1638015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38781E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16.0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农林牧渔业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229023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128.6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采矿业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170956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23.3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制造业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297033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-36.3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电力、燃气及水的生产和供应业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104573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964.7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交通运输、仓储和邮政业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92871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-46.2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信息传输、计算机服务和软件业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13368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154.6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批发和零售业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77755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69.4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住宿和餐饮业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61534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36.7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房地产业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279511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-6.6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租赁和商务服务业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6500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—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CA1FF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科学研究</w:t>
            </w:r>
            <w:r w:rsidR="00CA1FFC"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和</w:t>
            </w: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195.9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水利、环境和公共设施管理业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135986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101.7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教 育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18660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—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卫生、社会保障和社会福利业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15431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231.8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文化、体育和娱乐业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35761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164.6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公共管理和社会组织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11750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103.3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居民服务和其他服务业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A1FF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—</w:t>
            </w:r>
          </w:p>
        </w:tc>
      </w:tr>
    </w:tbl>
    <w:p w:rsidR="00590DD1" w:rsidRPr="005A04FA" w:rsidRDefault="00590DD1" w:rsidP="00B54419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全年房地产开发投资</w:t>
      </w:r>
      <w:r w:rsidR="00B54419" w:rsidRPr="005A04F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81111万</w:t>
      </w: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B54419" w:rsidRPr="005A04F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136.0</w:t>
      </w: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%。其中，住宅投资</w:t>
      </w:r>
      <w:r w:rsidR="000019A7" w:rsidRPr="005A04F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62505万</w:t>
      </w: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5A04FA" w:rsidRPr="005A04F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110.3</w:t>
      </w: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%；商业营业用房投资</w:t>
      </w:r>
      <w:r w:rsidR="000019A7" w:rsidRPr="005A04F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11831万</w:t>
      </w:r>
      <w:r w:rsidRPr="005A04F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lastRenderedPageBreak/>
        <w:t>表7 2015年房地产开发和销售情况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20"/>
        <w:gridCol w:w="1485"/>
        <w:gridCol w:w="1485"/>
        <w:gridCol w:w="1665"/>
      </w:tblGrid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指 标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单 位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绝对数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比上年增长%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投资完成额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亿 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0019A7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81111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0019A7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136.0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其中：住 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亿 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0019A7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62505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A04FA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110.3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房屋施工面积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B54419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86.66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A04FA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181.2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其中：住 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B54419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62.63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A04FA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152.1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房屋新开工面积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B54419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47.36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A04FA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181.1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其中：住 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B54419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31.20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A04FA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118.5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商品房销售面积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B54419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5.24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A04FA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-58.0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其中：住 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B54419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4.98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A04FA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-59.1</w:t>
            </w:r>
          </w:p>
        </w:tc>
      </w:tr>
    </w:tbl>
    <w:p w:rsidR="00590DD1" w:rsidRPr="009B483A" w:rsidRDefault="00590DD1" w:rsidP="00CA08F2">
      <w:pPr>
        <w:widowControl/>
        <w:spacing w:before="100" w:beforeAutospacing="1" w:after="100" w:afterAutospacing="1" w:line="420" w:lineRule="atLeas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9B483A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五、能 源</w:t>
      </w:r>
    </w:p>
    <w:p w:rsidR="00590DD1" w:rsidRPr="00650C99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650C9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650C9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650C9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一次能源生产折标准煤</w:t>
      </w:r>
      <w:r w:rsidR="00650C99" w:rsidRPr="00650C9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872.1</w:t>
      </w:r>
      <w:r w:rsidRPr="00650C9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万吨，增长</w:t>
      </w:r>
      <w:r w:rsidR="00650C99" w:rsidRPr="00650C9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2.2</w:t>
      </w:r>
      <w:r w:rsidRPr="00650C9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%，二次能源生产折标准煤</w:t>
      </w:r>
      <w:r w:rsidR="00650C99" w:rsidRPr="00650C9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2393.8</w:t>
      </w:r>
      <w:r w:rsidRPr="00650C9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万吨，比上年下降</w:t>
      </w:r>
      <w:r w:rsidR="00650C99" w:rsidRPr="00650C9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1.7</w:t>
      </w:r>
      <w:r w:rsidRPr="00650C99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6F7B11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6F7B11">
        <w:rPr>
          <w:rFonts w:asciiTheme="minorEastAsia" w:hAnsiTheme="minorEastAsia" w:cs="宋体"/>
          <w:kern w:val="0"/>
          <w:sz w:val="30"/>
          <w:szCs w:val="30"/>
        </w:rPr>
        <w:t>全年全</w:t>
      </w:r>
      <w:r w:rsidR="00724A50" w:rsidRPr="006F7B11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6F7B11">
        <w:rPr>
          <w:rFonts w:asciiTheme="minorEastAsia" w:hAnsiTheme="minorEastAsia" w:cs="宋体"/>
          <w:kern w:val="0"/>
          <w:sz w:val="30"/>
          <w:szCs w:val="30"/>
        </w:rPr>
        <w:t>向省外运输煤炭</w:t>
      </w:r>
      <w:r w:rsidR="006F7B11" w:rsidRPr="006F7B11">
        <w:rPr>
          <w:rFonts w:asciiTheme="minorEastAsia" w:hAnsiTheme="minorEastAsia" w:cs="宋体" w:hint="eastAsia"/>
          <w:kern w:val="0"/>
          <w:sz w:val="30"/>
          <w:szCs w:val="30"/>
        </w:rPr>
        <w:t>149.26</w:t>
      </w:r>
      <w:r w:rsidRPr="006F7B11">
        <w:rPr>
          <w:rFonts w:asciiTheme="minorEastAsia" w:hAnsiTheme="minorEastAsia" w:cs="宋体"/>
          <w:kern w:val="0"/>
          <w:sz w:val="30"/>
          <w:szCs w:val="30"/>
        </w:rPr>
        <w:t>万吨，</w:t>
      </w:r>
      <w:r w:rsidR="006F7B11" w:rsidRPr="006F7B11">
        <w:rPr>
          <w:rFonts w:asciiTheme="minorEastAsia" w:hAnsiTheme="minorEastAsia" w:cs="宋体" w:hint="eastAsia"/>
          <w:kern w:val="0"/>
          <w:sz w:val="30"/>
          <w:szCs w:val="30"/>
        </w:rPr>
        <w:t>下降23.7</w:t>
      </w:r>
      <w:r w:rsidRPr="006F7B11">
        <w:rPr>
          <w:rFonts w:asciiTheme="minorEastAsia" w:hAnsiTheme="minorEastAsia" w:cs="宋体"/>
          <w:kern w:val="0"/>
          <w:sz w:val="30"/>
          <w:szCs w:val="30"/>
        </w:rPr>
        <w:t>%，外运煤炭占煤炭产量</w:t>
      </w:r>
      <w:r w:rsidR="006F7B11" w:rsidRPr="006F7B11">
        <w:rPr>
          <w:rFonts w:asciiTheme="minorEastAsia" w:hAnsiTheme="minorEastAsia" w:cs="宋体" w:hint="eastAsia"/>
          <w:kern w:val="0"/>
          <w:sz w:val="30"/>
          <w:szCs w:val="30"/>
        </w:rPr>
        <w:t>4.4</w:t>
      </w:r>
      <w:r w:rsidRPr="006F7B11">
        <w:rPr>
          <w:rFonts w:asciiTheme="minorEastAsia" w:hAnsiTheme="minorEastAsia" w:cs="宋体"/>
          <w:kern w:val="0"/>
          <w:sz w:val="30"/>
          <w:szCs w:val="30"/>
        </w:rPr>
        <w:t>%。</w:t>
      </w:r>
    </w:p>
    <w:p w:rsidR="00590DD1" w:rsidRPr="00C86FD5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C86FD5">
        <w:rPr>
          <w:rFonts w:asciiTheme="minorEastAsia" w:hAnsiTheme="minorEastAsia" w:cs="宋体"/>
          <w:kern w:val="0"/>
          <w:sz w:val="30"/>
          <w:szCs w:val="30"/>
        </w:rPr>
        <w:t>全</w:t>
      </w:r>
      <w:r w:rsidR="00724A50" w:rsidRPr="00C86FD5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能源工业投资完成</w:t>
      </w:r>
      <w:r w:rsidR="00604DDB" w:rsidRPr="00C86FD5">
        <w:rPr>
          <w:rFonts w:asciiTheme="minorEastAsia" w:hAnsiTheme="minorEastAsia" w:cs="宋体" w:hint="eastAsia"/>
          <w:kern w:val="0"/>
          <w:sz w:val="30"/>
          <w:szCs w:val="30"/>
        </w:rPr>
        <w:t>284163万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元，</w:t>
      </w:r>
      <w:r w:rsidR="00FE54C3" w:rsidRPr="00C86FD5">
        <w:rPr>
          <w:rFonts w:asciiTheme="minorEastAsia" w:hAnsiTheme="minorEastAsia" w:cs="宋体" w:hint="eastAsia"/>
          <w:kern w:val="0"/>
          <w:sz w:val="30"/>
          <w:szCs w:val="30"/>
        </w:rPr>
        <w:t>增长80.4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%。其中，煤炭工业投资</w:t>
      </w:r>
      <w:r w:rsidR="0021781A" w:rsidRPr="00C86FD5">
        <w:rPr>
          <w:rFonts w:asciiTheme="minorEastAsia" w:hAnsiTheme="minorEastAsia" w:cs="宋体" w:hint="eastAsia"/>
          <w:kern w:val="0"/>
          <w:sz w:val="30"/>
          <w:szCs w:val="30"/>
        </w:rPr>
        <w:t>145053万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元，</w:t>
      </w:r>
      <w:r w:rsidR="0021781A" w:rsidRPr="00C86FD5">
        <w:rPr>
          <w:rFonts w:asciiTheme="minorEastAsia" w:hAnsiTheme="minorEastAsia" w:cs="宋体" w:hint="eastAsia"/>
          <w:kern w:val="0"/>
          <w:sz w:val="30"/>
          <w:szCs w:val="30"/>
        </w:rPr>
        <w:t>增长5.4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%；电力</w:t>
      </w:r>
      <w:r w:rsidR="0021781A" w:rsidRPr="00C86FD5">
        <w:rPr>
          <w:rFonts w:asciiTheme="minorEastAsia" w:hAnsiTheme="minorEastAsia" w:cs="宋体" w:hint="eastAsia"/>
          <w:kern w:val="0"/>
          <w:sz w:val="30"/>
          <w:szCs w:val="30"/>
        </w:rPr>
        <w:t>、热力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工业投资</w:t>
      </w:r>
      <w:r w:rsidR="0021781A" w:rsidRPr="00C86FD5">
        <w:rPr>
          <w:rFonts w:asciiTheme="minorEastAsia" w:hAnsiTheme="minorEastAsia" w:cs="宋体" w:hint="eastAsia"/>
          <w:kern w:val="0"/>
          <w:sz w:val="30"/>
          <w:szCs w:val="30"/>
        </w:rPr>
        <w:t>24182万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元，</w:t>
      </w:r>
      <w:r w:rsidR="0021781A" w:rsidRPr="00C86FD5">
        <w:rPr>
          <w:rFonts w:asciiTheme="minorEastAsia" w:hAnsiTheme="minorEastAsia" w:cs="宋体" w:hint="eastAsia"/>
          <w:kern w:val="0"/>
          <w:sz w:val="30"/>
          <w:szCs w:val="30"/>
        </w:rPr>
        <w:t>增长330.2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%；焦化工业投资</w:t>
      </w:r>
      <w:r w:rsidR="0021781A" w:rsidRPr="00C86FD5">
        <w:rPr>
          <w:rFonts w:asciiTheme="minorEastAsia" w:hAnsiTheme="minorEastAsia" w:cs="宋体" w:hint="eastAsia"/>
          <w:kern w:val="0"/>
          <w:sz w:val="30"/>
          <w:szCs w:val="30"/>
        </w:rPr>
        <w:t>8634万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元，下降</w:t>
      </w:r>
      <w:r w:rsidR="0021781A" w:rsidRPr="00C86FD5">
        <w:rPr>
          <w:rFonts w:asciiTheme="minorEastAsia" w:hAnsiTheme="minorEastAsia" w:cs="宋体" w:hint="eastAsia"/>
          <w:kern w:val="0"/>
          <w:sz w:val="30"/>
          <w:szCs w:val="30"/>
        </w:rPr>
        <w:t>4.1</w:t>
      </w:r>
      <w:r w:rsidRPr="00C86FD5">
        <w:rPr>
          <w:rFonts w:asciiTheme="minorEastAsia" w:hAnsiTheme="minorEastAsia" w:cs="宋体"/>
          <w:kern w:val="0"/>
          <w:sz w:val="30"/>
          <w:szCs w:val="30"/>
        </w:rPr>
        <w:t>%。</w:t>
      </w:r>
    </w:p>
    <w:p w:rsidR="00590DD1" w:rsidRPr="00FE19D6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全社会用电总量</w:t>
      </w:r>
      <w:r w:rsidR="00650C99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195923万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千瓦时。其中，第一产业用电</w:t>
      </w:r>
      <w:r w:rsidR="00650C99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6459万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千瓦时，占全部用电量3.</w:t>
      </w:r>
      <w:r w:rsidR="00FE19D6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%；第二产业用电</w:t>
      </w:r>
      <w:r w:rsidR="00650C99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148023万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千瓦时，占全部用电量</w:t>
      </w:r>
      <w:r w:rsidR="00650C99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75.6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%，其中，工业用电</w:t>
      </w:r>
      <w:r w:rsidR="00650C99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146648万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瓦时；第三产业用电</w:t>
      </w:r>
      <w:r w:rsidR="00650C99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11782万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千瓦时，占全部用电量</w:t>
      </w:r>
      <w:r w:rsidR="00650C99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6.0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%；城乡居民用电</w:t>
      </w:r>
      <w:r w:rsidR="00650C99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25754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千瓦时，占全部用电量</w:t>
      </w:r>
      <w:r w:rsidR="00650C99" w:rsidRPr="00FE19D6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13.2</w:t>
      </w:r>
      <w:r w:rsidRPr="00FE19D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9B483A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9B483A">
        <w:rPr>
          <w:rFonts w:ascii="黑体" w:eastAsia="黑体" w:hAnsi="黑体" w:cs="宋体"/>
          <w:kern w:val="0"/>
          <w:sz w:val="36"/>
          <w:szCs w:val="36"/>
        </w:rPr>
        <w:t>六、国内贸易</w:t>
      </w:r>
      <w:r w:rsidR="006E6397" w:rsidRPr="009B483A">
        <w:rPr>
          <w:rFonts w:ascii="黑体" w:eastAsia="黑体" w:hAnsi="黑体" w:cs="宋体" w:hint="eastAsia"/>
          <w:kern w:val="0"/>
          <w:sz w:val="36"/>
          <w:szCs w:val="36"/>
        </w:rPr>
        <w:t>和对外经济</w:t>
      </w:r>
    </w:p>
    <w:p w:rsidR="00590DD1" w:rsidRPr="00AA224B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AA224B">
        <w:rPr>
          <w:rFonts w:asciiTheme="minorEastAsia" w:hAnsiTheme="minorEastAsia" w:cs="宋体"/>
          <w:kern w:val="0"/>
          <w:sz w:val="30"/>
          <w:szCs w:val="30"/>
        </w:rPr>
        <w:t>全年全</w:t>
      </w:r>
      <w:r w:rsidR="00724A50" w:rsidRPr="00AA224B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社会消费品零售总额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530647万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5.1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%。按经营地统计，城镇消费品零售额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318222万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5.7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%；乡村消费品零售额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212425万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4.3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%。按消费形态统计，商品零售额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501037万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元，增长4.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8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%；餐饮收入额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29610万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5114D8" w:rsidRPr="00AA224B">
        <w:rPr>
          <w:rFonts w:asciiTheme="minorEastAsia" w:hAnsiTheme="minorEastAsia" w:cs="宋体" w:hint="eastAsia"/>
          <w:kern w:val="0"/>
          <w:sz w:val="30"/>
          <w:szCs w:val="30"/>
        </w:rPr>
        <w:t>10.7</w:t>
      </w:r>
      <w:r w:rsidRPr="00AA224B">
        <w:rPr>
          <w:rFonts w:asciiTheme="minorEastAsia" w:hAnsiTheme="minorEastAsia" w:cs="宋体"/>
          <w:kern w:val="0"/>
          <w:sz w:val="30"/>
          <w:szCs w:val="30"/>
        </w:rPr>
        <w:t>%。</w:t>
      </w:r>
    </w:p>
    <w:p w:rsidR="00590DD1" w:rsidRPr="00253D85" w:rsidRDefault="00590DD1" w:rsidP="0025664F">
      <w:pPr>
        <w:widowControl/>
        <w:spacing w:before="100" w:beforeAutospacing="1" w:after="100" w:afterAutospacing="1" w:line="420" w:lineRule="atLeast"/>
        <w:ind w:firstLineChars="250" w:firstLine="750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t>表</w:t>
      </w:r>
      <w:r w:rsidR="0052416A">
        <w:rPr>
          <w:rFonts w:ascii="黑体" w:eastAsia="黑体" w:hAnsi="黑体" w:cs="宋体" w:hint="eastAsia"/>
          <w:kern w:val="0"/>
          <w:sz w:val="30"/>
          <w:szCs w:val="30"/>
        </w:rPr>
        <w:t>8</w:t>
      </w:r>
      <w:r w:rsidRPr="00253D85">
        <w:rPr>
          <w:rFonts w:ascii="黑体" w:eastAsia="黑体" w:hAnsi="黑体" w:cs="宋体"/>
          <w:kern w:val="0"/>
          <w:sz w:val="30"/>
          <w:szCs w:val="30"/>
        </w:rPr>
        <w:t xml:space="preserve"> 2015年限额以上批发零售业零售额及其增长速度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right"/>
        <w:rPr>
          <w:rFonts w:asciiTheme="minorEastAsia" w:hAnsiTheme="minorEastAsia" w:cs="宋体"/>
          <w:kern w:val="0"/>
          <w:szCs w:val="21"/>
        </w:rPr>
      </w:pPr>
      <w:r w:rsidRPr="00253D85">
        <w:rPr>
          <w:rFonts w:asciiTheme="minorEastAsia" w:hAnsiTheme="minorEastAsia" w:cs="宋体"/>
          <w:kern w:val="0"/>
          <w:szCs w:val="21"/>
        </w:rPr>
        <w:t>单位：</w:t>
      </w:r>
      <w:r w:rsidR="00253D85">
        <w:rPr>
          <w:rFonts w:asciiTheme="minorEastAsia" w:hAnsiTheme="minorEastAsia" w:cs="宋体" w:hint="eastAsia"/>
          <w:kern w:val="0"/>
          <w:szCs w:val="21"/>
        </w:rPr>
        <w:t>万</w:t>
      </w:r>
      <w:r w:rsidRPr="00253D85">
        <w:rPr>
          <w:rFonts w:asciiTheme="minorEastAsia" w:hAnsiTheme="minorEastAsia" w:cs="宋体"/>
          <w:kern w:val="0"/>
          <w:szCs w:val="21"/>
        </w:rPr>
        <w:t>元、%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261"/>
        <w:gridCol w:w="1984"/>
        <w:gridCol w:w="1792"/>
      </w:tblGrid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指 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绝对数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比上年增长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汽车类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16269.7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26.5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石油及制品类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5424.1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-39.0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建筑及装潢材料类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42700.8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8.8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服装、鞋帽、针纺织品类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1000.7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-18.5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粮油、食品类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5375.1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-23.1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家用电器和音像器材类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6772.7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-6.3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家具类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26786.4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19.2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中西药品类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2930.4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8.8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书报杂志类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5731.5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11.0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日用品类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7181.3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4.6</w:t>
            </w:r>
          </w:p>
        </w:tc>
      </w:tr>
      <w:tr w:rsidR="00590DD1" w:rsidRPr="007D3A1C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文化办公用品类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9.9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6622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-15.4</w:t>
            </w:r>
          </w:p>
        </w:tc>
      </w:tr>
    </w:tbl>
    <w:p w:rsidR="00CA08F2" w:rsidRPr="00253D85" w:rsidRDefault="00CA08F2" w:rsidP="00CA08F2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lastRenderedPageBreak/>
        <w:t>表</w:t>
      </w:r>
      <w:r w:rsidR="0052416A">
        <w:rPr>
          <w:rFonts w:ascii="黑体" w:eastAsia="黑体" w:hAnsi="黑体" w:cs="宋体" w:hint="eastAsia"/>
          <w:kern w:val="0"/>
          <w:sz w:val="30"/>
          <w:szCs w:val="30"/>
        </w:rPr>
        <w:t>9</w:t>
      </w:r>
      <w:r w:rsidRPr="00253D85">
        <w:rPr>
          <w:rFonts w:ascii="黑体" w:eastAsia="黑体" w:hAnsi="黑体" w:cs="宋体"/>
          <w:kern w:val="0"/>
          <w:sz w:val="30"/>
          <w:szCs w:val="30"/>
        </w:rPr>
        <w:t xml:space="preserve"> 2015年社会消费品零售总额及其增长速度</w:t>
      </w:r>
    </w:p>
    <w:p w:rsidR="00CA08F2" w:rsidRPr="00253D85" w:rsidRDefault="00CA08F2" w:rsidP="00CA08F2">
      <w:pPr>
        <w:widowControl/>
        <w:spacing w:before="100" w:beforeAutospacing="1" w:after="100" w:afterAutospacing="1" w:line="420" w:lineRule="atLeast"/>
        <w:ind w:firstLine="450"/>
        <w:jc w:val="right"/>
        <w:rPr>
          <w:rFonts w:asciiTheme="minorEastAsia" w:hAnsiTheme="minorEastAsia" w:cs="宋体"/>
          <w:kern w:val="0"/>
          <w:szCs w:val="21"/>
        </w:rPr>
      </w:pPr>
      <w:r w:rsidRPr="00253D85">
        <w:rPr>
          <w:rFonts w:asciiTheme="minorEastAsia" w:hAnsiTheme="minorEastAsia" w:cs="宋体"/>
          <w:kern w:val="0"/>
          <w:szCs w:val="21"/>
        </w:rPr>
        <w:t>单位：</w:t>
      </w:r>
      <w:r w:rsidRPr="00253D85">
        <w:rPr>
          <w:rFonts w:asciiTheme="minorEastAsia" w:hAnsiTheme="minorEastAsia" w:cs="宋体" w:hint="eastAsia"/>
          <w:kern w:val="0"/>
          <w:szCs w:val="21"/>
        </w:rPr>
        <w:t>万</w:t>
      </w:r>
      <w:r w:rsidRPr="00253D85">
        <w:rPr>
          <w:rFonts w:asciiTheme="minorEastAsia" w:hAnsiTheme="minorEastAsia" w:cs="宋体"/>
          <w:kern w:val="0"/>
          <w:szCs w:val="21"/>
        </w:rPr>
        <w:t>元、%</w:t>
      </w: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76"/>
        <w:gridCol w:w="1984"/>
        <w:gridCol w:w="1807"/>
      </w:tblGrid>
      <w:tr w:rsidR="00CA08F2" w:rsidRPr="0025664F" w:rsidTr="004600A0">
        <w:trPr>
          <w:trHeight w:hRule="exact" w:val="567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指 标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绝对数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比上年增长</w:t>
            </w:r>
          </w:p>
        </w:tc>
      </w:tr>
      <w:tr w:rsidR="00CA08F2" w:rsidRPr="0025664F" w:rsidTr="004600A0">
        <w:trPr>
          <w:trHeight w:hRule="exact" w:val="567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社会消费品零售总额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530647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5.1</w:t>
            </w:r>
          </w:p>
        </w:tc>
      </w:tr>
      <w:tr w:rsidR="00CA08F2" w:rsidRPr="0025664F" w:rsidTr="004600A0">
        <w:trPr>
          <w:trHeight w:hRule="exact" w:val="567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分地域：城 镇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318222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5.7</w:t>
            </w:r>
          </w:p>
        </w:tc>
      </w:tr>
      <w:tr w:rsidR="00CA08F2" w:rsidRPr="0025664F" w:rsidTr="004600A0">
        <w:trPr>
          <w:trHeight w:hRule="exact" w:val="567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ind w:firstLineChars="400" w:firstLine="12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乡 村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212425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4.3</w:t>
            </w:r>
          </w:p>
        </w:tc>
      </w:tr>
      <w:tr w:rsidR="00CA08F2" w:rsidRPr="0025664F" w:rsidTr="004600A0">
        <w:trPr>
          <w:trHeight w:hRule="exact" w:val="567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分行业：批发业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100718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6.4</w:t>
            </w:r>
          </w:p>
        </w:tc>
      </w:tr>
      <w:tr w:rsidR="00CA08F2" w:rsidRPr="0025664F" w:rsidTr="004600A0">
        <w:trPr>
          <w:trHeight w:hRule="exact" w:val="567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ind w:firstLineChars="400" w:firstLine="12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零售业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400316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4.4</w:t>
            </w:r>
          </w:p>
        </w:tc>
      </w:tr>
      <w:tr w:rsidR="00CA08F2" w:rsidRPr="0025664F" w:rsidTr="004600A0">
        <w:trPr>
          <w:trHeight w:hRule="exact" w:val="567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ind w:firstLineChars="400" w:firstLine="12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住宿业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12943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17.8</w:t>
            </w:r>
          </w:p>
        </w:tc>
      </w:tr>
      <w:tr w:rsidR="00CA08F2" w:rsidRPr="0025664F" w:rsidTr="004600A0">
        <w:trPr>
          <w:trHeight w:hRule="exact" w:val="567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ind w:firstLineChars="400" w:firstLine="12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餐饮业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34870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CA08F2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12.6</w:t>
            </w:r>
          </w:p>
        </w:tc>
      </w:tr>
    </w:tbl>
    <w:p w:rsidR="00590DD1" w:rsidRPr="006E6397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6E639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6E639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6E639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海关进出口总额</w:t>
      </w:r>
      <w:r w:rsidR="00F6633B" w:rsidRPr="006E63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7344</w:t>
      </w:r>
      <w:r w:rsidRPr="006E639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万美元，下降</w:t>
      </w:r>
      <w:r w:rsidR="00F6633B" w:rsidRPr="006E63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0.5</w:t>
      </w:r>
      <w:r w:rsidRPr="006E639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%。其中，进口额</w:t>
      </w:r>
      <w:r w:rsidR="00F6633B" w:rsidRPr="006E63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201</w:t>
      </w:r>
      <w:r w:rsidRPr="006E639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万美元，</w:t>
      </w:r>
      <w:r w:rsidR="00F6633B" w:rsidRPr="006E63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增长154.9</w:t>
      </w:r>
      <w:r w:rsidRPr="006E639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%；出口额</w:t>
      </w:r>
      <w:r w:rsidR="00F6633B" w:rsidRPr="006E63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714</w:t>
      </w:r>
      <w:r w:rsidR="001673D9" w:rsidRPr="006E63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</w:t>
      </w:r>
      <w:r w:rsidRPr="006E639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万美元，下降</w:t>
      </w:r>
      <w:r w:rsidR="00F6633B" w:rsidRPr="006E63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2.2</w:t>
      </w:r>
      <w:r w:rsidRPr="006E639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图5 2011-2015年海关进出口总额及其增长速度</w:t>
      </w:r>
    </w:p>
    <w:p w:rsidR="00590DD1" w:rsidRPr="00724A50" w:rsidRDefault="001673D9" w:rsidP="004F20C4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Theme="minorEastAsia" w:hAnsiTheme="minorEastAsia" w:cs="宋体"/>
          <w:color w:val="FF0000"/>
          <w:kern w:val="0"/>
          <w:sz w:val="30"/>
          <w:szCs w:val="30"/>
        </w:rPr>
      </w:pPr>
      <w:r w:rsidRPr="001673D9">
        <w:rPr>
          <w:rFonts w:asciiTheme="minorEastAsia" w:hAnsiTheme="minorEastAsia" w:cs="宋体" w:hint="eastAsia"/>
          <w:noProof/>
          <w:color w:val="FF0000"/>
          <w:kern w:val="0"/>
          <w:sz w:val="30"/>
          <w:szCs w:val="30"/>
        </w:rPr>
        <w:drawing>
          <wp:inline distT="0" distB="0" distL="0" distR="0">
            <wp:extent cx="4905375" cy="2647950"/>
            <wp:effectExtent l="0" t="0" r="0" b="0"/>
            <wp:docPr id="9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0DD1" w:rsidRPr="009B483A" w:rsidRDefault="005A04FA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9B483A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七</w:t>
      </w:r>
      <w:r w:rsidR="00590DD1" w:rsidRPr="009B483A">
        <w:rPr>
          <w:rFonts w:ascii="黑体" w:eastAsia="黑体" w:hAnsi="黑体" w:cs="宋体"/>
          <w:kern w:val="0"/>
          <w:sz w:val="36"/>
          <w:szCs w:val="36"/>
        </w:rPr>
        <w:t>、交通、邮电和旅游</w:t>
      </w:r>
    </w:p>
    <w:p w:rsidR="00590DD1" w:rsidRPr="00C670E2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公路通车里程</w:t>
      </w:r>
      <w:r w:rsidR="00C670E2" w:rsidRPr="00C670E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2086.5</w:t>
      </w:r>
      <w:r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公里，其中高速公路</w:t>
      </w:r>
      <w:r w:rsidR="00C670E2" w:rsidRPr="00C670E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74.9</w:t>
      </w:r>
      <w:r w:rsidRPr="00C670E2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公里，与上年末持平。</w:t>
      </w:r>
    </w:p>
    <w:p w:rsidR="00590DD1" w:rsidRPr="00A868D5" w:rsidRDefault="00590DD1" w:rsidP="00A868D5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完成</w:t>
      </w:r>
      <w:r w:rsidR="002E4AA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邮政通讯营业总收入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32999万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降低9.2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%。其中，邮政</w:t>
      </w:r>
      <w:r w:rsidR="007459C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营业收入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167万</w:t>
      </w:r>
      <w:r w:rsidR="003F26B6"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；电信</w:t>
      </w:r>
      <w:r w:rsidR="007459C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营业收入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1709万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元。年末全</w:t>
      </w:r>
      <w:r w:rsidR="00724A50"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固定电话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61376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部，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增加9845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部，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增长19.1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%；移动电话用户减少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13170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户，年末为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494830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户，其中，3G、4G移动电话用户达到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201683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户。移动电话普及率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65.8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部/百人。全</w:t>
      </w:r>
      <w:r w:rsidR="00724A50"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宽带接入用户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96139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户，增长</w:t>
      </w:r>
      <w:r w:rsidR="003F26B6" w:rsidRPr="00A868D5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42.0</w:t>
      </w:r>
      <w:r w:rsidRPr="00A868D5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图6 2011-2015固定、移动电话用户数</w:t>
      </w:r>
    </w:p>
    <w:p w:rsidR="00590DD1" w:rsidRPr="00724A50" w:rsidRDefault="00A868D5" w:rsidP="002B3782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Theme="minorEastAsia" w:hAnsiTheme="minorEastAsia" w:cs="宋体"/>
          <w:color w:val="FF0000"/>
          <w:kern w:val="0"/>
          <w:sz w:val="30"/>
          <w:szCs w:val="30"/>
        </w:rPr>
      </w:pPr>
      <w:r>
        <w:rPr>
          <w:rFonts w:asciiTheme="minorEastAsia" w:hAnsiTheme="minorEastAsia" w:cs="宋体"/>
          <w:noProof/>
          <w:color w:val="FF0000"/>
          <w:kern w:val="0"/>
          <w:sz w:val="30"/>
          <w:szCs w:val="30"/>
        </w:rPr>
        <w:drawing>
          <wp:inline distT="0" distB="0" distL="0" distR="0">
            <wp:extent cx="5067300" cy="3076575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0DD1" w:rsidRPr="00724A50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color w:val="FF0000"/>
          <w:kern w:val="0"/>
          <w:sz w:val="30"/>
          <w:szCs w:val="30"/>
        </w:rPr>
      </w:pPr>
      <w:r w:rsidRPr="00400BD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400BD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400BD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接待旅游者</w:t>
      </w:r>
      <w:r w:rsidR="00400BDA" w:rsidRPr="00400BD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57084万</w:t>
      </w:r>
      <w:r w:rsidRPr="00400BD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人次；旅游总收入</w:t>
      </w:r>
      <w:r w:rsidR="00400BDA" w:rsidRPr="00400BD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49.14</w:t>
      </w:r>
      <w:r w:rsidR="00400BDA" w:rsidRPr="00400BDA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亿元</w:t>
      </w:r>
      <w:r w:rsidR="00400BDA" w:rsidRPr="00400BD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="00400BDA" w:rsidRPr="00724A50">
        <w:rPr>
          <w:rFonts w:asciiTheme="minorEastAsia" w:hAnsiTheme="minorEastAsia" w:cs="宋体"/>
          <w:color w:val="FF0000"/>
          <w:kern w:val="0"/>
          <w:sz w:val="30"/>
          <w:szCs w:val="30"/>
        </w:rPr>
        <w:t xml:space="preserve"> </w:t>
      </w:r>
    </w:p>
    <w:p w:rsidR="00590DD1" w:rsidRPr="009B483A" w:rsidRDefault="005A04FA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9B483A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八</w:t>
      </w:r>
      <w:r w:rsidR="00590DD1" w:rsidRPr="009B483A">
        <w:rPr>
          <w:rFonts w:ascii="黑体" w:eastAsia="黑体" w:hAnsi="黑体" w:cs="宋体"/>
          <w:kern w:val="0"/>
          <w:sz w:val="36"/>
          <w:szCs w:val="36"/>
        </w:rPr>
        <w:t>、金 融</w:t>
      </w:r>
    </w:p>
    <w:p w:rsidR="00590DD1" w:rsidRPr="002449AB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2449AB">
        <w:rPr>
          <w:rFonts w:asciiTheme="minorEastAsia" w:hAnsiTheme="minorEastAsia" w:cs="宋体"/>
          <w:kern w:val="0"/>
          <w:sz w:val="30"/>
          <w:szCs w:val="30"/>
        </w:rPr>
        <w:t>年末全</w:t>
      </w:r>
      <w:r w:rsidR="00724A50" w:rsidRPr="002449AB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2449AB">
        <w:rPr>
          <w:rFonts w:asciiTheme="minorEastAsia" w:hAnsiTheme="minorEastAsia" w:cs="宋体"/>
          <w:kern w:val="0"/>
          <w:sz w:val="30"/>
          <w:szCs w:val="30"/>
        </w:rPr>
        <w:t>金融机构本外币各项存款余额</w:t>
      </w:r>
      <w:r w:rsidR="00DC002C" w:rsidRPr="002449AB">
        <w:rPr>
          <w:rFonts w:asciiTheme="minorEastAsia" w:hAnsiTheme="minorEastAsia" w:cs="宋体" w:hint="eastAsia"/>
          <w:kern w:val="0"/>
          <w:sz w:val="30"/>
          <w:szCs w:val="30"/>
        </w:rPr>
        <w:t>1819002万</w:t>
      </w:r>
      <w:r w:rsidRPr="002449AB">
        <w:rPr>
          <w:rFonts w:asciiTheme="minorEastAsia" w:hAnsiTheme="minorEastAsia" w:cs="宋体"/>
          <w:kern w:val="0"/>
          <w:sz w:val="30"/>
          <w:szCs w:val="30"/>
        </w:rPr>
        <w:t>元，比年初增加</w:t>
      </w:r>
      <w:r w:rsidR="00DC002C" w:rsidRPr="002449AB">
        <w:rPr>
          <w:rFonts w:asciiTheme="minorEastAsia" w:hAnsiTheme="minorEastAsia" w:cs="宋体" w:hint="eastAsia"/>
          <w:kern w:val="0"/>
          <w:sz w:val="30"/>
          <w:szCs w:val="30"/>
        </w:rPr>
        <w:t>55310</w:t>
      </w:r>
      <w:r w:rsidRPr="002449AB">
        <w:rPr>
          <w:rFonts w:asciiTheme="minorEastAsia" w:hAnsiTheme="minorEastAsia" w:cs="宋体"/>
          <w:kern w:val="0"/>
          <w:sz w:val="30"/>
          <w:szCs w:val="30"/>
        </w:rPr>
        <w:t>元，比年初增长</w:t>
      </w:r>
      <w:r w:rsidR="00DC002C" w:rsidRPr="002449AB">
        <w:rPr>
          <w:rFonts w:asciiTheme="minorEastAsia" w:hAnsiTheme="minorEastAsia" w:cs="宋体" w:hint="eastAsia"/>
          <w:kern w:val="0"/>
          <w:sz w:val="30"/>
          <w:szCs w:val="30"/>
        </w:rPr>
        <w:t>3.1</w:t>
      </w:r>
      <w:r w:rsidRPr="002449AB">
        <w:rPr>
          <w:rFonts w:asciiTheme="minorEastAsia" w:hAnsiTheme="minorEastAsia" w:cs="宋体"/>
          <w:kern w:val="0"/>
          <w:sz w:val="30"/>
          <w:szCs w:val="30"/>
        </w:rPr>
        <w:t>%。各项贷款余额</w:t>
      </w:r>
      <w:r w:rsidR="00DC002C" w:rsidRPr="002449AB">
        <w:rPr>
          <w:rFonts w:asciiTheme="minorEastAsia" w:hAnsiTheme="minorEastAsia" w:cs="宋体" w:hint="eastAsia"/>
          <w:kern w:val="0"/>
          <w:sz w:val="30"/>
          <w:szCs w:val="30"/>
        </w:rPr>
        <w:t>884659万</w:t>
      </w:r>
      <w:r w:rsidRPr="002449AB">
        <w:rPr>
          <w:rFonts w:asciiTheme="minorEastAsia" w:hAnsiTheme="minorEastAsia" w:cs="宋体"/>
          <w:kern w:val="0"/>
          <w:sz w:val="30"/>
          <w:szCs w:val="30"/>
        </w:rPr>
        <w:t>元，比年初增加</w:t>
      </w:r>
      <w:r w:rsidR="00DC002C" w:rsidRPr="002449AB">
        <w:rPr>
          <w:rFonts w:asciiTheme="minorEastAsia" w:hAnsiTheme="minorEastAsia" w:cs="宋体" w:hint="eastAsia"/>
          <w:kern w:val="0"/>
          <w:sz w:val="30"/>
          <w:szCs w:val="30"/>
        </w:rPr>
        <w:t>91554万</w:t>
      </w:r>
      <w:r w:rsidRPr="002449AB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DC002C" w:rsidRPr="002449AB">
        <w:rPr>
          <w:rFonts w:asciiTheme="minorEastAsia" w:hAnsiTheme="minorEastAsia" w:cs="宋体" w:hint="eastAsia"/>
          <w:kern w:val="0"/>
          <w:sz w:val="30"/>
          <w:szCs w:val="30"/>
        </w:rPr>
        <w:t>11.5</w:t>
      </w:r>
      <w:r w:rsidRPr="002449AB">
        <w:rPr>
          <w:rFonts w:asciiTheme="minorEastAsia" w:hAnsiTheme="minorEastAsia" w:cs="宋体"/>
          <w:kern w:val="0"/>
          <w:sz w:val="30"/>
          <w:szCs w:val="30"/>
        </w:rPr>
        <w:t>%。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t>图7 2011-2015年城乡居民储蓄存款余额及其增长速度</w:t>
      </w:r>
    </w:p>
    <w:p w:rsidR="009B483A" w:rsidRDefault="002449AB" w:rsidP="009B483A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449AB">
        <w:rPr>
          <w:rFonts w:asciiTheme="minorEastAsia" w:hAnsiTheme="minorEastAsia" w:cs="宋体" w:hint="eastAsia"/>
          <w:noProof/>
          <w:kern w:val="0"/>
          <w:sz w:val="30"/>
          <w:szCs w:val="30"/>
        </w:rPr>
        <w:drawing>
          <wp:inline distT="0" distB="0" distL="0" distR="0">
            <wp:extent cx="4410075" cy="2162175"/>
            <wp:effectExtent l="0" t="0" r="0" b="0"/>
            <wp:docPr id="8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483A" w:rsidRPr="00253D85" w:rsidRDefault="009B483A" w:rsidP="001C7F06">
      <w:pPr>
        <w:widowControl/>
        <w:spacing w:before="100" w:beforeAutospacing="1" w:after="100" w:afterAutospacing="1" w:line="180" w:lineRule="atLeast"/>
        <w:ind w:firstLine="448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t>表1</w:t>
      </w:r>
      <w:r w:rsidRPr="00253D85">
        <w:rPr>
          <w:rFonts w:ascii="黑体" w:eastAsia="黑体" w:hAnsi="黑体" w:cs="宋体" w:hint="eastAsia"/>
          <w:kern w:val="0"/>
          <w:sz w:val="30"/>
          <w:szCs w:val="30"/>
        </w:rPr>
        <w:t>0</w:t>
      </w:r>
      <w:r w:rsidRPr="00253D85">
        <w:rPr>
          <w:rFonts w:ascii="黑体" w:eastAsia="黑体" w:hAnsi="黑体" w:cs="宋体"/>
          <w:kern w:val="0"/>
          <w:sz w:val="30"/>
          <w:szCs w:val="30"/>
        </w:rPr>
        <w:t xml:space="preserve"> 2015年年末金融机构本外币存贷款及其增长速度</w:t>
      </w:r>
    </w:p>
    <w:p w:rsidR="009B483A" w:rsidRPr="00253D85" w:rsidRDefault="009B483A" w:rsidP="001C7F06">
      <w:pPr>
        <w:widowControl/>
        <w:spacing w:before="100" w:beforeAutospacing="1" w:after="100" w:afterAutospacing="1" w:line="180" w:lineRule="atLeast"/>
        <w:ind w:firstLine="448"/>
        <w:jc w:val="right"/>
        <w:rPr>
          <w:rFonts w:asciiTheme="minorEastAsia" w:hAnsiTheme="minorEastAsia" w:cs="宋体"/>
          <w:kern w:val="0"/>
          <w:szCs w:val="21"/>
        </w:rPr>
      </w:pPr>
      <w:r w:rsidRPr="00253D85">
        <w:rPr>
          <w:rFonts w:asciiTheme="minorEastAsia" w:hAnsiTheme="minorEastAsia" w:cs="宋体"/>
          <w:kern w:val="0"/>
          <w:szCs w:val="21"/>
        </w:rPr>
        <w:t>单位：</w:t>
      </w:r>
      <w:r w:rsidRPr="00253D85">
        <w:rPr>
          <w:rFonts w:asciiTheme="minorEastAsia" w:hAnsiTheme="minorEastAsia" w:cs="宋体" w:hint="eastAsia"/>
          <w:kern w:val="0"/>
          <w:szCs w:val="21"/>
        </w:rPr>
        <w:t>万</w:t>
      </w:r>
      <w:r w:rsidRPr="00253D85">
        <w:rPr>
          <w:rFonts w:asciiTheme="minorEastAsia" w:hAnsiTheme="minorEastAsia" w:cs="宋体"/>
          <w:kern w:val="0"/>
          <w:szCs w:val="21"/>
        </w:rPr>
        <w:t>元、%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82"/>
        <w:gridCol w:w="1628"/>
        <w:gridCol w:w="1620"/>
      </w:tblGrid>
      <w:tr w:rsidR="009B483A" w:rsidRPr="002449AB" w:rsidTr="00415A3B">
        <w:trPr>
          <w:trHeight w:hRule="exact" w:val="510"/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指 标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年末数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比年初增长</w:t>
            </w:r>
          </w:p>
        </w:tc>
      </w:tr>
      <w:tr w:rsidR="009B483A" w:rsidRPr="002449AB" w:rsidTr="00415A3B">
        <w:trPr>
          <w:trHeight w:hRule="exact" w:val="510"/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各项存款余额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1819002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3.1</w:t>
            </w:r>
          </w:p>
        </w:tc>
      </w:tr>
      <w:tr w:rsidR="009B483A" w:rsidRPr="002449AB" w:rsidTr="00415A3B">
        <w:trPr>
          <w:trHeight w:hRule="exact" w:val="510"/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1C7F06">
            <w:pPr>
              <w:widowControl/>
              <w:spacing w:before="100" w:beforeAutospacing="1" w:after="100" w:afterAutospacing="1" w:line="330" w:lineRule="atLeast"/>
              <w:ind w:firstLineChars="100" w:firstLine="2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其中：单位存款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161894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16.2</w:t>
            </w:r>
          </w:p>
        </w:tc>
      </w:tr>
      <w:tr w:rsidR="009B483A" w:rsidRPr="002449AB" w:rsidTr="00415A3B">
        <w:trPr>
          <w:trHeight w:hRule="exact" w:val="510"/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城乡居民储蓄存款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1459158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7.0</w:t>
            </w:r>
          </w:p>
        </w:tc>
      </w:tr>
      <w:tr w:rsidR="009B483A" w:rsidRPr="002449AB" w:rsidTr="00415A3B">
        <w:trPr>
          <w:trHeight w:hRule="exact" w:val="510"/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1C7F06">
            <w:pPr>
              <w:widowControl/>
              <w:spacing w:before="100" w:beforeAutospacing="1" w:after="100" w:afterAutospacing="1" w:line="330" w:lineRule="atLeast"/>
              <w:ind w:firstLineChars="100" w:firstLine="2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其中：人民币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1457915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7.0</w:t>
            </w:r>
          </w:p>
        </w:tc>
      </w:tr>
      <w:tr w:rsidR="009B483A" w:rsidRPr="002449AB" w:rsidTr="00415A3B">
        <w:trPr>
          <w:trHeight w:hRule="exact" w:val="510"/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各项贷款余额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884659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11.5</w:t>
            </w:r>
          </w:p>
        </w:tc>
      </w:tr>
      <w:tr w:rsidR="009B483A" w:rsidRPr="002449AB" w:rsidTr="00415A3B">
        <w:trPr>
          <w:trHeight w:hRule="exact" w:val="510"/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1C7F06">
            <w:pPr>
              <w:widowControl/>
              <w:spacing w:before="100" w:beforeAutospacing="1" w:after="100" w:afterAutospacing="1" w:line="330" w:lineRule="atLeast"/>
              <w:ind w:firstLineChars="100" w:firstLine="2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其中：短期贷款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101168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-12.7</w:t>
            </w:r>
          </w:p>
        </w:tc>
      </w:tr>
      <w:tr w:rsidR="009B483A" w:rsidRPr="002449AB" w:rsidTr="00415A3B">
        <w:trPr>
          <w:trHeight w:hRule="exact" w:val="510"/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中长期贷款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139712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15.3</w:t>
            </w:r>
          </w:p>
        </w:tc>
      </w:tr>
      <w:tr w:rsidR="009B483A" w:rsidRPr="002449AB" w:rsidTr="00415A3B">
        <w:trPr>
          <w:trHeight w:hRule="exact" w:val="510"/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1C7F06">
            <w:pPr>
              <w:widowControl/>
              <w:spacing w:before="100" w:beforeAutospacing="1" w:after="100" w:afterAutospacing="1" w:line="330" w:lineRule="atLeast"/>
              <w:ind w:firstLineChars="100" w:firstLine="2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其中：个人消费性贷款（人民币）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56444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4600A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15.2</w:t>
            </w:r>
          </w:p>
        </w:tc>
      </w:tr>
    </w:tbl>
    <w:p w:rsidR="00590DD1" w:rsidRPr="000B384B" w:rsidRDefault="00590DD1" w:rsidP="009B483A">
      <w:pPr>
        <w:widowControl/>
        <w:spacing w:before="100" w:beforeAutospacing="1" w:after="100" w:afterAutospacing="1" w:line="420" w:lineRule="atLeast"/>
        <w:ind w:firstLineChars="150" w:firstLine="4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0B384B">
        <w:rPr>
          <w:rFonts w:asciiTheme="minorEastAsia" w:hAnsiTheme="minorEastAsia" w:cs="宋体"/>
          <w:kern w:val="0"/>
          <w:sz w:val="30"/>
          <w:szCs w:val="30"/>
        </w:rPr>
        <w:lastRenderedPageBreak/>
        <w:t>年末全</w:t>
      </w:r>
      <w:r w:rsidR="000B384B" w:rsidRPr="000B384B">
        <w:rPr>
          <w:rFonts w:asciiTheme="minorEastAsia" w:hAnsiTheme="minorEastAsia" w:cs="宋体" w:hint="eastAsia"/>
          <w:kern w:val="0"/>
          <w:sz w:val="30"/>
          <w:szCs w:val="30"/>
        </w:rPr>
        <w:t>县</w:t>
      </w:r>
      <w:r w:rsidRPr="000B384B">
        <w:rPr>
          <w:rFonts w:asciiTheme="minorEastAsia" w:hAnsiTheme="minorEastAsia" w:cs="宋体"/>
          <w:kern w:val="0"/>
          <w:sz w:val="30"/>
          <w:szCs w:val="30"/>
        </w:rPr>
        <w:t>农村信用社人民币贷款余额</w:t>
      </w:r>
      <w:r w:rsidR="000B384B" w:rsidRPr="000B384B">
        <w:rPr>
          <w:rFonts w:asciiTheme="minorEastAsia" w:hAnsiTheme="minorEastAsia" w:cs="宋体" w:hint="eastAsia"/>
          <w:kern w:val="0"/>
          <w:sz w:val="30"/>
          <w:szCs w:val="30"/>
        </w:rPr>
        <w:t>551152万</w:t>
      </w:r>
      <w:r w:rsidRPr="000B384B">
        <w:rPr>
          <w:rFonts w:asciiTheme="minorEastAsia" w:hAnsiTheme="minorEastAsia" w:cs="宋体"/>
          <w:kern w:val="0"/>
          <w:sz w:val="30"/>
          <w:szCs w:val="30"/>
        </w:rPr>
        <w:t>元，比年初增加</w:t>
      </w:r>
      <w:r w:rsidR="000B384B" w:rsidRPr="000B384B">
        <w:rPr>
          <w:rFonts w:asciiTheme="minorEastAsia" w:hAnsiTheme="minorEastAsia" w:cs="宋体" w:hint="eastAsia"/>
          <w:kern w:val="0"/>
          <w:sz w:val="30"/>
          <w:szCs w:val="30"/>
        </w:rPr>
        <w:t>21476万</w:t>
      </w:r>
      <w:r w:rsidRPr="000B384B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0B384B" w:rsidRPr="000B384B">
        <w:rPr>
          <w:rFonts w:asciiTheme="minorEastAsia" w:hAnsiTheme="minorEastAsia" w:cs="宋体" w:hint="eastAsia"/>
          <w:kern w:val="0"/>
          <w:sz w:val="30"/>
          <w:szCs w:val="30"/>
        </w:rPr>
        <w:t>4.1</w:t>
      </w:r>
      <w:r w:rsidRPr="000B384B">
        <w:rPr>
          <w:rFonts w:asciiTheme="minorEastAsia" w:hAnsiTheme="minorEastAsia" w:cs="宋体"/>
          <w:kern w:val="0"/>
          <w:sz w:val="30"/>
          <w:szCs w:val="30"/>
        </w:rPr>
        <w:t>%</w:t>
      </w:r>
      <w:r w:rsidR="000B384B" w:rsidRPr="000B384B">
        <w:rPr>
          <w:rFonts w:asciiTheme="minorEastAsia" w:hAnsiTheme="minorEastAsia" w:cs="宋体" w:hint="eastAsia"/>
          <w:kern w:val="0"/>
          <w:sz w:val="30"/>
          <w:szCs w:val="30"/>
        </w:rPr>
        <w:t>；</w:t>
      </w:r>
      <w:r w:rsidRPr="000B384B">
        <w:rPr>
          <w:rFonts w:asciiTheme="minorEastAsia" w:hAnsiTheme="minorEastAsia" w:cs="宋体"/>
          <w:kern w:val="0"/>
          <w:sz w:val="30"/>
          <w:szCs w:val="30"/>
        </w:rPr>
        <w:t>人民币存款余额</w:t>
      </w:r>
      <w:r w:rsidR="000B384B" w:rsidRPr="000B384B">
        <w:rPr>
          <w:rFonts w:asciiTheme="minorEastAsia" w:hAnsiTheme="minorEastAsia" w:cs="宋体" w:hint="eastAsia"/>
          <w:kern w:val="0"/>
          <w:sz w:val="30"/>
          <w:szCs w:val="30"/>
        </w:rPr>
        <w:t>941499万</w:t>
      </w:r>
      <w:r w:rsidRPr="000B384B">
        <w:rPr>
          <w:rFonts w:asciiTheme="minorEastAsia" w:hAnsiTheme="minorEastAsia" w:cs="宋体"/>
          <w:kern w:val="0"/>
          <w:sz w:val="30"/>
          <w:szCs w:val="30"/>
        </w:rPr>
        <w:t>元，比年初增加</w:t>
      </w:r>
      <w:r w:rsidR="000B384B" w:rsidRPr="000B384B">
        <w:rPr>
          <w:rFonts w:asciiTheme="minorEastAsia" w:hAnsiTheme="minorEastAsia" w:cs="宋体" w:hint="eastAsia"/>
          <w:kern w:val="0"/>
          <w:sz w:val="30"/>
          <w:szCs w:val="30"/>
        </w:rPr>
        <w:t>99937万</w:t>
      </w:r>
      <w:r w:rsidRPr="000B384B">
        <w:rPr>
          <w:rFonts w:asciiTheme="minorEastAsia" w:hAnsiTheme="minorEastAsia" w:cs="宋体"/>
          <w:kern w:val="0"/>
          <w:sz w:val="30"/>
          <w:szCs w:val="30"/>
        </w:rPr>
        <w:t>元，增长</w:t>
      </w:r>
      <w:r w:rsidR="000B384B" w:rsidRPr="000B384B">
        <w:rPr>
          <w:rFonts w:asciiTheme="minorEastAsia" w:hAnsiTheme="minorEastAsia" w:cs="宋体" w:hint="eastAsia"/>
          <w:kern w:val="0"/>
          <w:sz w:val="30"/>
          <w:szCs w:val="30"/>
        </w:rPr>
        <w:t>11.9</w:t>
      </w:r>
      <w:r w:rsidRPr="000B384B">
        <w:rPr>
          <w:rFonts w:asciiTheme="minorEastAsia" w:hAnsiTheme="minorEastAsia" w:cs="宋体"/>
          <w:kern w:val="0"/>
          <w:sz w:val="30"/>
          <w:szCs w:val="30"/>
        </w:rPr>
        <w:t>%。</w:t>
      </w:r>
    </w:p>
    <w:p w:rsidR="00590DD1" w:rsidRPr="009B483A" w:rsidRDefault="005A04FA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9B483A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九</w:t>
      </w:r>
      <w:r w:rsidR="00590DD1" w:rsidRPr="009B483A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、教育</w:t>
      </w:r>
      <w:r w:rsidR="00A50213" w:rsidRPr="009B483A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、文化和卫生</w:t>
      </w:r>
    </w:p>
    <w:p w:rsidR="00590DD1" w:rsidRPr="00A50213" w:rsidRDefault="00590DD1" w:rsidP="00763CD5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B0560F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各级各类学校598所，其中幼儿园275所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  <w:r w:rsidR="00B0560F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全县高中阶段毛入学率</w:t>
      </w:r>
      <w:r w:rsidR="00763CD5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86.0%，初中阶段学生巩固率达到99.0%。6周岁以上学龄儿童入学率100%。农村家庭困难的寄宿制学生7062人得到各级政府提供的生活补贴达823.4万元。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表1</w:t>
      </w:r>
      <w:r w:rsidR="007A7BCD" w:rsidRPr="00253D85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1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 xml:space="preserve"> 2015年各类教育发展情况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253D85">
        <w:rPr>
          <w:rFonts w:asciiTheme="minorEastAsia" w:hAnsiTheme="minorEastAsia" w:cs="宋体"/>
          <w:color w:val="000000" w:themeColor="text1"/>
          <w:kern w:val="0"/>
          <w:szCs w:val="21"/>
        </w:rPr>
        <w:t>单位：人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45"/>
        <w:gridCol w:w="1530"/>
        <w:gridCol w:w="1725"/>
        <w:gridCol w:w="1515"/>
      </w:tblGrid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指 标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招 生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在校生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毕业生</w:t>
            </w:r>
          </w:p>
        </w:tc>
      </w:tr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中等职业教育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798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1917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362</w:t>
            </w:r>
          </w:p>
        </w:tc>
      </w:tr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普通高中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4700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13716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5027</w:t>
            </w:r>
          </w:p>
        </w:tc>
      </w:tr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初 中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6767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22647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8354</w:t>
            </w:r>
          </w:p>
        </w:tc>
      </w:tr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590DD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小 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6909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72961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195506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8653</w:t>
            </w:r>
          </w:p>
        </w:tc>
      </w:tr>
    </w:tbl>
    <w:p w:rsidR="00195506" w:rsidRPr="00A50213" w:rsidRDefault="00195506" w:rsidP="00195506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年末全县建有文化馆1个，博物馆1个。全县文化系统共有专业和非专业艺术表演团体4家。</w:t>
      </w:r>
      <w:r w:rsidR="00A342FA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全县公共图书馆1个，档案馆1个。广播</w:t>
      </w:r>
      <w:r w:rsidR="00DA528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</w:t>
      </w:r>
      <w:r w:rsidR="00A342FA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台1座，电视台1座。年末有线电视用户12.5万户。</w:t>
      </w:r>
    </w:p>
    <w:p w:rsidR="00590DD1" w:rsidRPr="00A50213" w:rsidRDefault="00590DD1" w:rsidP="00195506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全</w:t>
      </w:r>
      <w:r w:rsidR="00724A50"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有气象台（站）1个，开展121电话天气自动答询台（站）1个。气象系统开展人工影响天气业务的单位1个，防雹、增雨受益覆盖面积</w:t>
      </w:r>
      <w:r w:rsidR="00195506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1494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平方公里。卫星云图接收站1个。</w:t>
      </w:r>
    </w:p>
    <w:p w:rsidR="009B483A" w:rsidRPr="00A50213" w:rsidRDefault="00590DD1" w:rsidP="00F40F4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共有卫生机构(含诊所、村卫生室)</w:t>
      </w:r>
      <w:r w:rsidR="00BD1675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931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家，其中妇幼保健院（所、站）</w:t>
      </w:r>
      <w:r w:rsidR="00BD1675"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1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家。全</w:t>
      </w:r>
      <w:r w:rsidR="00724A50"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卫生机构共有床位</w:t>
      </w:r>
      <w:r w:rsidR="00BD1675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1689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张，其中医院床位</w:t>
      </w:r>
      <w:r w:rsidR="00BD1675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1133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张，卫生院床位</w:t>
      </w:r>
      <w:r w:rsidR="00BD1675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556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张。卫生技术人员</w:t>
      </w:r>
      <w:r w:rsidR="00BD1675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1742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人。全</w:t>
      </w:r>
      <w:r w:rsidR="00724A50"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BD1675" w:rsidRPr="00A502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626957名</w:t>
      </w:r>
      <w:r w:rsidRPr="00A50213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农民参加了合作医疗。</w:t>
      </w:r>
    </w:p>
    <w:p w:rsidR="00590DD1" w:rsidRPr="009B483A" w:rsidRDefault="005A04FA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9B483A">
        <w:rPr>
          <w:rFonts w:ascii="黑体" w:eastAsia="黑体" w:hAnsi="黑体" w:cs="宋体"/>
          <w:kern w:val="0"/>
          <w:sz w:val="36"/>
          <w:szCs w:val="36"/>
        </w:rPr>
        <w:t>十</w:t>
      </w:r>
      <w:r w:rsidR="00590DD1" w:rsidRPr="009B483A">
        <w:rPr>
          <w:rFonts w:ascii="黑体" w:eastAsia="黑体" w:hAnsi="黑体" w:cs="宋体"/>
          <w:kern w:val="0"/>
          <w:sz w:val="36"/>
          <w:szCs w:val="36"/>
        </w:rPr>
        <w:t>、人口、人民生活和社会保障</w:t>
      </w:r>
    </w:p>
    <w:p w:rsidR="00590DD1" w:rsidRPr="00D83F64" w:rsidRDefault="00590DD1" w:rsidP="00743D7B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据2015年人口抽样调查，年末全</w:t>
      </w:r>
      <w:r w:rsidR="00724A50"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常住人口为</w:t>
      </w:r>
      <w:r w:rsidR="00743D7B" w:rsidRPr="00D83F6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752012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人，比上年末增加</w:t>
      </w:r>
      <w:r w:rsidR="00A22DBC" w:rsidRPr="00D83F6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3154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人。全年全</w:t>
      </w:r>
      <w:r w:rsidR="00724A50"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出生人口</w:t>
      </w:r>
      <w:r w:rsidR="00A22DBC" w:rsidRPr="00D83F6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7021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人，人口出生率为</w:t>
      </w:r>
      <w:r w:rsidR="00A22DBC" w:rsidRPr="00D83F6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9.36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‰；死亡人口</w:t>
      </w:r>
      <w:r w:rsidR="00A22DBC" w:rsidRPr="00D83F6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3867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人，死亡率为</w:t>
      </w:r>
      <w:r w:rsidR="00A22DBC" w:rsidRPr="00D83F6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5.15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‰；自然增长率为</w:t>
      </w:r>
      <w:r w:rsidR="00A22DBC"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4.</w:t>
      </w:r>
      <w:r w:rsidR="00A22DBC" w:rsidRPr="00D83F6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‰。人口性别比为</w:t>
      </w:r>
      <w:r w:rsidR="00A22DBC" w:rsidRPr="00D83F6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102.49</w:t>
      </w:r>
      <w:r w:rsidRPr="00D83F64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表1</w:t>
      </w:r>
      <w:r w:rsidR="007A7BCD" w:rsidRPr="00253D85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 xml:space="preserve"> 2015年人口数及其构成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253D85">
        <w:rPr>
          <w:rFonts w:asciiTheme="minorEastAsia" w:hAnsiTheme="minorEastAsia" w:cs="宋体"/>
          <w:color w:val="000000" w:themeColor="text1"/>
          <w:kern w:val="0"/>
          <w:szCs w:val="21"/>
        </w:rPr>
        <w:t>单位：人、%</w:t>
      </w: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14"/>
        <w:gridCol w:w="2201"/>
        <w:gridCol w:w="1991"/>
      </w:tblGrid>
      <w:tr w:rsidR="00590DD1" w:rsidRPr="00D83F64" w:rsidTr="001B5F67">
        <w:trPr>
          <w:trHeight w:hRule="exact" w:val="713"/>
          <w:jc w:val="center"/>
        </w:trPr>
        <w:tc>
          <w:tcPr>
            <w:tcW w:w="4125" w:type="dxa"/>
            <w:vAlign w:val="center"/>
            <w:hideMark/>
          </w:tcPr>
          <w:p w:rsidR="00590DD1" w:rsidRPr="00D83F64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指 标</w:t>
            </w:r>
          </w:p>
        </w:tc>
        <w:tc>
          <w:tcPr>
            <w:tcW w:w="2205" w:type="dxa"/>
            <w:vAlign w:val="center"/>
            <w:hideMark/>
          </w:tcPr>
          <w:p w:rsidR="00590DD1" w:rsidRPr="00D83F64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年末数</w:t>
            </w:r>
          </w:p>
        </w:tc>
        <w:tc>
          <w:tcPr>
            <w:tcW w:w="1995" w:type="dxa"/>
            <w:vAlign w:val="center"/>
            <w:hideMark/>
          </w:tcPr>
          <w:p w:rsidR="00590DD1" w:rsidRPr="00D83F64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比 重</w:t>
            </w:r>
          </w:p>
        </w:tc>
      </w:tr>
      <w:tr w:rsidR="00590DD1" w:rsidRPr="00D83F64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D83F64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全</w:t>
            </w:r>
            <w:r w:rsidR="00724A50"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县</w:t>
            </w:r>
            <w:r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常住人口</w:t>
            </w:r>
          </w:p>
        </w:tc>
        <w:tc>
          <w:tcPr>
            <w:tcW w:w="220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752012</w:t>
            </w:r>
          </w:p>
        </w:tc>
        <w:tc>
          <w:tcPr>
            <w:tcW w:w="1995" w:type="dxa"/>
            <w:vAlign w:val="center"/>
            <w:hideMark/>
          </w:tcPr>
          <w:p w:rsidR="00590DD1" w:rsidRPr="00D83F64" w:rsidRDefault="00590DD1" w:rsidP="0051470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—</w:t>
            </w:r>
          </w:p>
        </w:tc>
      </w:tr>
      <w:tr w:rsidR="00590DD1" w:rsidRPr="00D83F64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D83F64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其中：城 镇</w:t>
            </w:r>
          </w:p>
        </w:tc>
        <w:tc>
          <w:tcPr>
            <w:tcW w:w="220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306059</w:t>
            </w:r>
          </w:p>
        </w:tc>
        <w:tc>
          <w:tcPr>
            <w:tcW w:w="199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40.70</w:t>
            </w:r>
          </w:p>
        </w:tc>
      </w:tr>
      <w:tr w:rsidR="00590DD1" w:rsidRPr="00D83F64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 xml:space="preserve">     </w:t>
            </w:r>
            <w:r w:rsidR="00590DD1"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乡 村</w:t>
            </w:r>
          </w:p>
        </w:tc>
        <w:tc>
          <w:tcPr>
            <w:tcW w:w="220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445953</w:t>
            </w:r>
          </w:p>
        </w:tc>
        <w:tc>
          <w:tcPr>
            <w:tcW w:w="199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59.30</w:t>
            </w:r>
          </w:p>
        </w:tc>
      </w:tr>
      <w:tr w:rsidR="00590DD1" w:rsidRPr="00D83F64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D83F64" w:rsidRDefault="00590DD1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其中：男 性</w:t>
            </w:r>
          </w:p>
        </w:tc>
        <w:tc>
          <w:tcPr>
            <w:tcW w:w="220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380626</w:t>
            </w:r>
          </w:p>
        </w:tc>
        <w:tc>
          <w:tcPr>
            <w:tcW w:w="199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50.61</w:t>
            </w:r>
          </w:p>
        </w:tc>
      </w:tr>
      <w:tr w:rsidR="00590DD1" w:rsidRPr="00D83F64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 xml:space="preserve">      </w:t>
            </w:r>
            <w:r w:rsidR="00590DD1" w:rsidRPr="00D83F64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女 性</w:t>
            </w:r>
          </w:p>
        </w:tc>
        <w:tc>
          <w:tcPr>
            <w:tcW w:w="220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371386</w:t>
            </w:r>
          </w:p>
        </w:tc>
        <w:tc>
          <w:tcPr>
            <w:tcW w:w="1995" w:type="dxa"/>
            <w:vAlign w:val="center"/>
            <w:hideMark/>
          </w:tcPr>
          <w:p w:rsidR="00590DD1" w:rsidRPr="00D83F64" w:rsidRDefault="00A22DBC" w:rsidP="00590D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D83F64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49.39</w:t>
            </w:r>
          </w:p>
        </w:tc>
      </w:tr>
    </w:tbl>
    <w:p w:rsidR="00CA08F2" w:rsidRPr="004A686D" w:rsidRDefault="00590DD1" w:rsidP="00F40F4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A686D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全年全</w:t>
      </w:r>
      <w:r w:rsidR="00724A50" w:rsidRPr="004A686D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4A686D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居民人均可支配收入</w:t>
      </w:r>
      <w:r w:rsidR="00807C33" w:rsidRPr="004A686D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14772</w:t>
      </w:r>
      <w:r w:rsidRPr="004A686D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807C33" w:rsidRPr="004A686D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7.5</w:t>
      </w:r>
      <w:r w:rsidRPr="004A686D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%。按常住地分，全年城镇居民人均可支配收入</w:t>
      </w:r>
      <w:r w:rsidR="00807C33" w:rsidRPr="004A686D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23344</w:t>
      </w:r>
      <w:r w:rsidRPr="004A686D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元，比上年增长8.0%；全年农村居民人均可支配收入</w:t>
      </w:r>
      <w:r w:rsidR="00807C33" w:rsidRPr="004A686D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9921</w:t>
      </w:r>
      <w:r w:rsidRPr="004A686D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807C33" w:rsidRPr="004A686D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6.8</w:t>
      </w:r>
      <w:r w:rsidRPr="004A686D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807C33" w:rsidRPr="004A686D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。全年全县在岗职工</w:t>
      </w:r>
      <w:r w:rsidR="00DA528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</w:t>
      </w:r>
      <w:r w:rsidR="00807C33" w:rsidRPr="004A686D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均工资</w:t>
      </w:r>
      <w:r w:rsidR="00DA528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总额</w:t>
      </w:r>
      <w:r w:rsidR="00807C33" w:rsidRPr="004A686D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42779元，增长13.9%。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图8 2011-2015年城镇居民人均可支配收入及其增长速度</w:t>
      </w:r>
    </w:p>
    <w:p w:rsidR="004A686D" w:rsidRPr="004A686D" w:rsidRDefault="004A686D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A686D">
        <w:rPr>
          <w:rFonts w:asciiTheme="minorEastAsia" w:hAnsiTheme="minorEastAsia" w:cs="宋体" w:hint="eastAsia"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4657725" cy="2409825"/>
            <wp:effectExtent l="0" t="0" r="0" b="0"/>
            <wp:docPr id="2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图9 2011-2015年农村居民人均可支配收入及其增长速度</w:t>
      </w:r>
    </w:p>
    <w:p w:rsidR="00590DD1" w:rsidRPr="004A686D" w:rsidRDefault="004A686D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A686D">
        <w:rPr>
          <w:rFonts w:asciiTheme="minorEastAsia" w:hAnsiTheme="minorEastAsia" w:cs="宋体" w:hint="eastAsia"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4657725" cy="2133600"/>
            <wp:effectExtent l="0" t="0" r="0" b="0"/>
            <wp:docPr id="10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90DD1" w:rsidRPr="00761E81" w:rsidRDefault="00590DD1" w:rsidP="00137685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</w:t>
      </w:r>
      <w:r w:rsid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全县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参加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城镇</w:t>
      </w:r>
      <w:r w:rsidR="00450CF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职工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基本养老保险的人数为</w:t>
      </w:r>
      <w:r w:rsidR="00450CF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40237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参加城乡居民社会养老保险参保人数的人数为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432602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参加城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镇基本医疗保险的人数为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78277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参加失业保险的人数为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22113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人，；参加工伤保险的人数为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44801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人，其中农民工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25105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人；参加生育保险的人数为</w:t>
      </w:r>
      <w:r w:rsidR="00137685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23011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人。</w:t>
      </w:r>
    </w:p>
    <w:p w:rsidR="00590DD1" w:rsidRPr="00761E81" w:rsidRDefault="00590DD1" w:rsidP="00761E81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纳入城</w:t>
      </w:r>
      <w:r w:rsidR="00761E81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市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最低生活保障的居民</w:t>
      </w:r>
      <w:r w:rsidR="00761E81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7582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人，发放城</w:t>
      </w:r>
      <w:r w:rsidR="00761E81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市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低保资金</w:t>
      </w:r>
      <w:r w:rsidR="00761E81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3124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万元，比上年减少</w:t>
      </w:r>
      <w:r w:rsidR="00761E81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万元；纳入农村最低生活保障的居民</w:t>
      </w:r>
      <w:r w:rsidR="00761E81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12187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人，发放农村低保资金</w:t>
      </w:r>
      <w:r w:rsidR="00761E81" w:rsidRPr="00761E8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2793</w:t>
      </w:r>
      <w:r w:rsidRPr="00761E8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万元。</w:t>
      </w:r>
    </w:p>
    <w:p w:rsidR="00590DD1" w:rsidRPr="00743D7B" w:rsidRDefault="00590DD1" w:rsidP="00761E81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743D7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743D7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743D7B" w:rsidRPr="00743D7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提供住宿的社会服务机构床位数190张。全年全县救助人数共81145人，其中城市低保7582人，农村低保12187人，农村五保1692人，城乡医疗救助46837人，流浪乞讨救助3509人，优抚医疗救助4558人，临时救济4780人。</w:t>
      </w:r>
      <w:r w:rsidRPr="00743D7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全年销售社会福利彩票</w:t>
      </w:r>
      <w:r w:rsidR="00743D7B" w:rsidRPr="00743D7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2500余万</w:t>
      </w:r>
      <w:r w:rsidR="00743D7B" w:rsidRPr="00743D7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</w:t>
      </w:r>
      <w:r w:rsidR="00743D7B" w:rsidRPr="00743D7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="00743D7B" w:rsidRPr="00743D7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 xml:space="preserve"> </w:t>
      </w:r>
    </w:p>
    <w:p w:rsidR="00590DD1" w:rsidRPr="00761A27" w:rsidRDefault="00590DD1" w:rsidP="00124862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761A2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</w:t>
      </w:r>
      <w:r w:rsidR="00724A50" w:rsidRPr="00761A2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124862" w:rsidRPr="00761A2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城</w:t>
      </w:r>
      <w:r w:rsidRPr="00761A2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建成区面积</w:t>
      </w:r>
      <w:r w:rsidR="00124862" w:rsidRPr="00761A2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14.6</w:t>
      </w:r>
      <w:r w:rsidR="00761A27" w:rsidRPr="00761A2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平方公里；建成区绿化覆盖面积为647.83万平方米， </w:t>
      </w:r>
      <w:r w:rsidRPr="00761A2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绿化覆盖率达到</w:t>
      </w:r>
      <w:r w:rsidR="00761A27" w:rsidRPr="00761A2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44.37</w:t>
      </w:r>
      <w:r w:rsidRPr="00761A27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761A27" w:rsidRPr="00761A2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；绿地面积为625.92万平方米，绿地率达42.87%；公园绿地面积为54.66万平方米，人均公园面积11.37平方米。</w:t>
      </w:r>
    </w:p>
    <w:p w:rsidR="00590DD1" w:rsidRPr="00CA08F2" w:rsidRDefault="00590DD1" w:rsidP="00590DD1">
      <w:pPr>
        <w:widowControl/>
        <w:spacing w:before="100" w:beforeAutospacing="1" w:after="100" w:afterAutospacing="1" w:line="420" w:lineRule="atLeast"/>
        <w:ind w:firstLine="45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CA08F2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十</w:t>
      </w:r>
      <w:r w:rsidR="005A04FA" w:rsidRPr="00CA08F2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一</w:t>
      </w:r>
      <w:r w:rsidRPr="00CA08F2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、资源</w:t>
      </w:r>
      <w:r w:rsidR="00253D85" w:rsidRPr="00CA08F2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和</w:t>
      </w:r>
      <w:r w:rsidRPr="00CA08F2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环境</w:t>
      </w:r>
    </w:p>
    <w:p w:rsidR="00590DD1" w:rsidRPr="00E84A01" w:rsidRDefault="00590DD1" w:rsidP="00E84A01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年末耕地保有量</w:t>
      </w:r>
      <w:r w:rsidR="0051470E" w:rsidRPr="00E84A0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105.41万亩</w:t>
      </w:r>
      <w:r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  <w:r w:rsidR="001E563E"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年末全县森林面积</w:t>
      </w:r>
      <w:r w:rsidR="00941E11" w:rsidRPr="00E84A0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34.98</w:t>
      </w:r>
      <w:r w:rsidR="001E563E"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万亩，森林覆盖率</w:t>
      </w:r>
      <w:r w:rsidR="00941E11" w:rsidRPr="00E84A0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15.6</w:t>
      </w:r>
      <w:r w:rsidR="001E563E"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1E563E" w:rsidRPr="00E84A0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</w:t>
      </w:r>
      <w:r w:rsidR="00724A50"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年降水量</w:t>
      </w:r>
      <w:r w:rsidR="00A3651B" w:rsidRPr="00E84A0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319</w:t>
      </w:r>
      <w:r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毫米，比上年减少</w:t>
      </w:r>
      <w:r w:rsidR="00A3651B" w:rsidRPr="00E84A0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257.4毫米</w:t>
      </w:r>
      <w:r w:rsidRPr="00E84A0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</w:p>
    <w:p w:rsidR="00590DD1" w:rsidRPr="007B3064" w:rsidRDefault="00590DD1" w:rsidP="00CE6E89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7B3064">
        <w:rPr>
          <w:rFonts w:asciiTheme="minorEastAsia" w:hAnsiTheme="minorEastAsia" w:cs="宋体"/>
          <w:kern w:val="0"/>
          <w:sz w:val="30"/>
          <w:szCs w:val="30"/>
        </w:rPr>
        <w:lastRenderedPageBreak/>
        <w:t>按《环境空气质量指数（AQI）技术规定（试行）（HJ633-2012）》评价，2015年</w:t>
      </w:r>
      <w:r w:rsidR="00724A50" w:rsidRPr="007B3064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7B3064">
        <w:rPr>
          <w:rFonts w:asciiTheme="minorEastAsia" w:hAnsiTheme="minorEastAsia" w:cs="宋体"/>
          <w:kern w:val="0"/>
          <w:sz w:val="30"/>
          <w:szCs w:val="30"/>
        </w:rPr>
        <w:t>区空气质量好于二级以上天数</w:t>
      </w:r>
      <w:r w:rsidR="00CE6E89" w:rsidRPr="007B3064">
        <w:rPr>
          <w:rFonts w:asciiTheme="minorEastAsia" w:hAnsiTheme="minorEastAsia" w:cs="宋体" w:hint="eastAsia"/>
          <w:kern w:val="0"/>
          <w:sz w:val="30"/>
          <w:szCs w:val="30"/>
        </w:rPr>
        <w:t>329</w:t>
      </w:r>
      <w:r w:rsidRPr="007B3064">
        <w:rPr>
          <w:rFonts w:asciiTheme="minorEastAsia" w:hAnsiTheme="minorEastAsia" w:cs="宋体"/>
          <w:kern w:val="0"/>
          <w:sz w:val="30"/>
          <w:szCs w:val="30"/>
        </w:rPr>
        <w:t>天，同比</w:t>
      </w:r>
      <w:r w:rsidR="00CE6E89" w:rsidRPr="007B3064">
        <w:rPr>
          <w:rFonts w:asciiTheme="minorEastAsia" w:hAnsiTheme="minorEastAsia" w:cs="宋体" w:hint="eastAsia"/>
          <w:kern w:val="0"/>
          <w:sz w:val="30"/>
          <w:szCs w:val="30"/>
        </w:rPr>
        <w:t>减少10</w:t>
      </w:r>
      <w:r w:rsidRPr="007B3064">
        <w:rPr>
          <w:rFonts w:asciiTheme="minorEastAsia" w:hAnsiTheme="minorEastAsia" w:cs="宋体"/>
          <w:kern w:val="0"/>
          <w:sz w:val="30"/>
          <w:szCs w:val="30"/>
        </w:rPr>
        <w:t>天，其中一级天数达到</w:t>
      </w:r>
      <w:r w:rsidR="00CE6E89" w:rsidRPr="007B3064">
        <w:rPr>
          <w:rFonts w:asciiTheme="minorEastAsia" w:hAnsiTheme="minorEastAsia" w:cs="宋体" w:hint="eastAsia"/>
          <w:kern w:val="0"/>
          <w:sz w:val="30"/>
          <w:szCs w:val="30"/>
        </w:rPr>
        <w:t>93</w:t>
      </w:r>
      <w:r w:rsidRPr="007B3064">
        <w:rPr>
          <w:rFonts w:asciiTheme="minorEastAsia" w:hAnsiTheme="minorEastAsia" w:cs="宋体"/>
          <w:kern w:val="0"/>
          <w:sz w:val="30"/>
          <w:szCs w:val="30"/>
        </w:rPr>
        <w:t>天，同比</w:t>
      </w:r>
      <w:r w:rsidR="00CE6E89" w:rsidRPr="007B3064">
        <w:rPr>
          <w:rFonts w:asciiTheme="minorEastAsia" w:hAnsiTheme="minorEastAsia" w:cs="宋体" w:hint="eastAsia"/>
          <w:kern w:val="0"/>
          <w:sz w:val="30"/>
          <w:szCs w:val="30"/>
        </w:rPr>
        <w:t>增加7</w:t>
      </w:r>
      <w:r w:rsidRPr="007B3064">
        <w:rPr>
          <w:rFonts w:asciiTheme="minorEastAsia" w:hAnsiTheme="minorEastAsia" w:cs="宋体"/>
          <w:kern w:val="0"/>
          <w:sz w:val="30"/>
          <w:szCs w:val="30"/>
        </w:rPr>
        <w:t>天。</w:t>
      </w:r>
      <w:r w:rsidR="00CE6E89" w:rsidRPr="007B3064">
        <w:rPr>
          <w:rFonts w:asciiTheme="minorEastAsia" w:hAnsiTheme="minorEastAsia" w:cs="宋体" w:hint="eastAsia"/>
          <w:kern w:val="0"/>
          <w:sz w:val="30"/>
          <w:szCs w:val="30"/>
        </w:rPr>
        <w:t>综合污染指数1.70%，PM</w:t>
      </w:r>
      <w:r w:rsidRPr="007B3064">
        <w:rPr>
          <w:rFonts w:asciiTheme="minorEastAsia" w:hAnsiTheme="minorEastAsia" w:cs="宋体"/>
          <w:kern w:val="0"/>
          <w:sz w:val="30"/>
          <w:szCs w:val="30"/>
        </w:rPr>
        <w:t>10浓度均值为0.08</w:t>
      </w:r>
      <w:r w:rsidR="00CE6E89" w:rsidRPr="007B3064">
        <w:rPr>
          <w:rFonts w:asciiTheme="minorEastAsia" w:hAnsiTheme="minorEastAsia" w:cs="宋体" w:hint="eastAsia"/>
          <w:kern w:val="0"/>
          <w:sz w:val="30"/>
          <w:szCs w:val="30"/>
        </w:rPr>
        <w:t>3</w:t>
      </w:r>
      <w:r w:rsidRPr="007B3064">
        <w:rPr>
          <w:rFonts w:asciiTheme="minorEastAsia" w:hAnsiTheme="minorEastAsia" w:cs="宋体"/>
          <w:kern w:val="0"/>
          <w:sz w:val="30"/>
          <w:szCs w:val="30"/>
        </w:rPr>
        <w:t>毫克/</w:t>
      </w:r>
      <w:r w:rsidR="00CE6E89" w:rsidRPr="007B3064">
        <w:rPr>
          <w:rFonts w:asciiTheme="minorEastAsia" w:hAnsiTheme="minorEastAsia" w:cs="宋体"/>
          <w:kern w:val="0"/>
          <w:sz w:val="30"/>
          <w:szCs w:val="30"/>
        </w:rPr>
        <w:t>立方米</w:t>
      </w:r>
      <w:r w:rsidRPr="007B3064">
        <w:rPr>
          <w:rFonts w:asciiTheme="minorEastAsia" w:hAnsiTheme="minorEastAsia" w:cs="宋体"/>
          <w:kern w:val="0"/>
          <w:sz w:val="30"/>
          <w:szCs w:val="30"/>
        </w:rPr>
        <w:t>。</w:t>
      </w:r>
    </w:p>
    <w:p w:rsidR="00590DD1" w:rsidRPr="00CE6E89" w:rsidRDefault="00590DD1" w:rsidP="00CE6E89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B16EC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B16EC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B16EC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城</w:t>
      </w:r>
      <w:r w:rsidR="00724A50" w:rsidRPr="00B16EC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B16EC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污水处理率</w:t>
      </w:r>
      <w:r w:rsidR="00B16EC1" w:rsidRPr="00B16EC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90.0</w:t>
      </w:r>
      <w:r w:rsidRPr="00B16EC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</w:t>
      </w:r>
      <w:r w:rsidR="00B16EC1" w:rsidRPr="00B16EC1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与上年相持平</w:t>
      </w:r>
      <w:r w:rsidRPr="00B16EC1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；</w:t>
      </w:r>
      <w:r w:rsidR="00724A50" w:rsidRPr="00CE6E89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CE6E89">
        <w:rPr>
          <w:rFonts w:asciiTheme="minorEastAsia" w:hAnsiTheme="minorEastAsia" w:cs="宋体"/>
          <w:kern w:val="0"/>
          <w:sz w:val="30"/>
          <w:szCs w:val="30"/>
        </w:rPr>
        <w:t>区城</w:t>
      </w:r>
      <w:r w:rsidR="00724A50" w:rsidRPr="00CE6E89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CE6E89">
        <w:rPr>
          <w:rFonts w:asciiTheme="minorEastAsia" w:hAnsiTheme="minorEastAsia" w:cs="宋体"/>
          <w:kern w:val="0"/>
          <w:sz w:val="30"/>
          <w:szCs w:val="30"/>
        </w:rPr>
        <w:t>生活垃圾无害化处理率连续四年达到100%。全</w:t>
      </w:r>
      <w:r w:rsidR="00724A50" w:rsidRPr="00CE6E89">
        <w:rPr>
          <w:rFonts w:asciiTheme="minorEastAsia" w:hAnsiTheme="minorEastAsia" w:cs="宋体"/>
          <w:kern w:val="0"/>
          <w:sz w:val="30"/>
          <w:szCs w:val="30"/>
        </w:rPr>
        <w:t>县</w:t>
      </w:r>
      <w:r w:rsidRPr="00CE6E89">
        <w:rPr>
          <w:rFonts w:asciiTheme="minorEastAsia" w:hAnsiTheme="minorEastAsia" w:cs="宋体"/>
          <w:kern w:val="0"/>
          <w:sz w:val="30"/>
          <w:szCs w:val="30"/>
        </w:rPr>
        <w:t>集中供热普及率</w:t>
      </w:r>
      <w:r w:rsidR="0091146B" w:rsidRPr="00CE6E89">
        <w:rPr>
          <w:rFonts w:asciiTheme="minorEastAsia" w:hAnsiTheme="minorEastAsia" w:cs="宋体" w:hint="eastAsia"/>
          <w:kern w:val="0"/>
          <w:sz w:val="30"/>
          <w:szCs w:val="30"/>
        </w:rPr>
        <w:t>96</w:t>
      </w:r>
      <w:r w:rsidRPr="00CE6E89">
        <w:rPr>
          <w:rFonts w:asciiTheme="minorEastAsia" w:hAnsiTheme="minorEastAsia" w:cs="宋体"/>
          <w:kern w:val="0"/>
          <w:sz w:val="30"/>
          <w:szCs w:val="30"/>
        </w:rPr>
        <w:t>%，提高</w:t>
      </w:r>
      <w:r w:rsidR="0091146B" w:rsidRPr="00CE6E89">
        <w:rPr>
          <w:rFonts w:asciiTheme="minorEastAsia" w:hAnsiTheme="minorEastAsia" w:cs="宋体" w:hint="eastAsia"/>
          <w:kern w:val="0"/>
          <w:sz w:val="30"/>
          <w:szCs w:val="30"/>
        </w:rPr>
        <w:t>6</w:t>
      </w:r>
      <w:r w:rsidRPr="00CE6E89">
        <w:rPr>
          <w:rFonts w:asciiTheme="minorEastAsia" w:hAnsiTheme="minorEastAsia" w:cs="宋体"/>
          <w:kern w:val="0"/>
          <w:sz w:val="30"/>
          <w:szCs w:val="30"/>
        </w:rPr>
        <w:t>个百分点。</w:t>
      </w:r>
      <w:r w:rsidR="00DA5287" w:rsidRPr="00CE6E89">
        <w:rPr>
          <w:rFonts w:asciiTheme="minorEastAsia" w:hAnsiTheme="minorEastAsia" w:cs="宋体" w:hint="eastAsia"/>
          <w:kern w:val="0"/>
          <w:sz w:val="30"/>
          <w:szCs w:val="30"/>
        </w:rPr>
        <w:t>2015年</w:t>
      </w:r>
      <w:r w:rsidRPr="00CE6E89">
        <w:rPr>
          <w:rFonts w:asciiTheme="minorEastAsia" w:hAnsiTheme="minorEastAsia" w:cs="宋体"/>
          <w:kern w:val="0"/>
          <w:sz w:val="30"/>
          <w:szCs w:val="30"/>
        </w:rPr>
        <w:t>天然气</w:t>
      </w:r>
      <w:r w:rsidR="00CE6E89" w:rsidRPr="00CE6E89">
        <w:rPr>
          <w:rFonts w:asciiTheme="minorEastAsia" w:hAnsiTheme="minorEastAsia" w:cs="宋体" w:hint="eastAsia"/>
          <w:kern w:val="0"/>
          <w:sz w:val="30"/>
          <w:szCs w:val="30"/>
        </w:rPr>
        <w:t>新增用户5907户，年末用户达42407户，其中民用用户41987户。</w:t>
      </w:r>
    </w:p>
    <w:p w:rsidR="00590DD1" w:rsidRPr="00253D85" w:rsidRDefault="00590DD1" w:rsidP="00590DD1">
      <w:pPr>
        <w:widowControl/>
        <w:spacing w:before="100" w:beforeAutospacing="1" w:after="100" w:afterAutospacing="1" w:line="420" w:lineRule="atLeast"/>
        <w:ind w:firstLine="45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53D85">
        <w:rPr>
          <w:rFonts w:asciiTheme="minorEastAsia" w:hAnsiTheme="minorEastAsia" w:cs="宋体"/>
          <w:kern w:val="0"/>
          <w:sz w:val="24"/>
          <w:szCs w:val="24"/>
        </w:rPr>
        <w:t>公报注释 ：</w:t>
      </w:r>
    </w:p>
    <w:p w:rsidR="00590DD1" w:rsidRPr="00CA08F2" w:rsidRDefault="00590DD1" w:rsidP="00032EAF">
      <w:pPr>
        <w:widowControl/>
        <w:spacing w:line="360" w:lineRule="auto"/>
        <w:ind w:firstLine="45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CA08F2">
        <w:rPr>
          <w:rFonts w:ascii="楷体" w:eastAsia="楷体" w:hAnsi="楷体" w:cs="宋体"/>
          <w:kern w:val="0"/>
          <w:sz w:val="24"/>
          <w:szCs w:val="24"/>
        </w:rPr>
        <w:t>1.本公报部分数据为初步统计数据。</w:t>
      </w:r>
    </w:p>
    <w:p w:rsidR="00590DD1" w:rsidRPr="00CA08F2" w:rsidRDefault="00590DD1" w:rsidP="00032EAF">
      <w:pPr>
        <w:widowControl/>
        <w:spacing w:line="360" w:lineRule="auto"/>
        <w:ind w:firstLine="45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CA08F2">
        <w:rPr>
          <w:rFonts w:ascii="楷体" w:eastAsia="楷体" w:hAnsi="楷体" w:cs="宋体"/>
          <w:kern w:val="0"/>
          <w:sz w:val="24"/>
          <w:szCs w:val="24"/>
        </w:rPr>
        <w:t>2.地区生产总值、各产业增加值绝对数按现价计算，增长速度按不变价格计算。</w:t>
      </w:r>
    </w:p>
    <w:p w:rsidR="00590DD1" w:rsidRPr="00CA08F2" w:rsidRDefault="00590DD1" w:rsidP="00032EAF">
      <w:pPr>
        <w:widowControl/>
        <w:spacing w:line="360" w:lineRule="auto"/>
        <w:ind w:firstLine="45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CA08F2">
        <w:rPr>
          <w:rFonts w:ascii="楷体" w:eastAsia="楷体" w:hAnsi="楷体" w:cs="宋体"/>
          <w:kern w:val="0"/>
          <w:sz w:val="24"/>
          <w:szCs w:val="24"/>
        </w:rPr>
        <w:t>3.所有增长或下降速度均为同上年相比较。</w:t>
      </w:r>
    </w:p>
    <w:p w:rsidR="00590DD1" w:rsidRPr="00CA08F2" w:rsidRDefault="00590DD1" w:rsidP="00032EAF">
      <w:pPr>
        <w:widowControl/>
        <w:spacing w:line="360" w:lineRule="auto"/>
        <w:ind w:firstLine="45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CA08F2">
        <w:rPr>
          <w:rFonts w:ascii="楷体" w:eastAsia="楷体" w:hAnsi="楷体" w:cs="宋体"/>
          <w:kern w:val="0"/>
          <w:sz w:val="24"/>
          <w:szCs w:val="24"/>
        </w:rPr>
        <w:t>4.部分数据因四舍五入的原因，存在与分项合计不等的情况。</w:t>
      </w:r>
    </w:p>
    <w:p w:rsidR="00590DD1" w:rsidRPr="00CA08F2" w:rsidRDefault="00590DD1" w:rsidP="00032EAF">
      <w:pPr>
        <w:widowControl/>
        <w:spacing w:line="360" w:lineRule="auto"/>
        <w:ind w:firstLine="45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CA08F2">
        <w:rPr>
          <w:rFonts w:ascii="楷体" w:eastAsia="楷体" w:hAnsi="楷体" w:cs="宋体"/>
          <w:kern w:val="0"/>
          <w:sz w:val="24"/>
          <w:szCs w:val="24"/>
        </w:rPr>
        <w:t>5.节能降耗指标单独发布。</w:t>
      </w:r>
    </w:p>
    <w:p w:rsidR="00590DD1" w:rsidRPr="00CA08F2" w:rsidRDefault="00590DD1" w:rsidP="00032EAF">
      <w:pPr>
        <w:widowControl/>
        <w:spacing w:line="360" w:lineRule="auto"/>
        <w:ind w:firstLine="45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CA08F2">
        <w:rPr>
          <w:rFonts w:ascii="楷体" w:eastAsia="楷体" w:hAnsi="楷体" w:cs="宋体"/>
          <w:kern w:val="0"/>
          <w:sz w:val="24"/>
          <w:szCs w:val="24"/>
        </w:rPr>
        <w:t>6.2012年四季度，国家统计局实施了城乡一体化住户调查改革。原有指标“农村居民人均纯收入”变更为 “农村居民人均可支配收入”。增加了“居民人均可支配收入”。</w:t>
      </w:r>
    </w:p>
    <w:p w:rsidR="00253D85" w:rsidRPr="00CA08F2" w:rsidRDefault="00253D85" w:rsidP="00032EAF">
      <w:pPr>
        <w:widowControl/>
        <w:spacing w:line="360" w:lineRule="auto"/>
        <w:ind w:firstLine="45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CA08F2">
        <w:rPr>
          <w:rFonts w:ascii="楷体" w:eastAsia="楷体" w:hAnsi="楷体" w:cs="宋体" w:hint="eastAsia"/>
          <w:kern w:val="0"/>
          <w:sz w:val="24"/>
          <w:szCs w:val="24"/>
        </w:rPr>
        <w:t>7.部门数据由行业管理部门提供。</w:t>
      </w:r>
    </w:p>
    <w:p w:rsidR="00724A50" w:rsidRPr="00CA08F2" w:rsidRDefault="00724A50">
      <w:pPr>
        <w:rPr>
          <w:rFonts w:ascii="楷体" w:eastAsia="楷体" w:hAnsi="楷体"/>
        </w:rPr>
      </w:pPr>
    </w:p>
    <w:sectPr w:rsidR="00724A50" w:rsidRPr="00CA08F2" w:rsidSect="00C81314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7C" w:rsidRDefault="00045E7C" w:rsidP="00A27AE9">
      <w:r>
        <w:separator/>
      </w:r>
    </w:p>
  </w:endnote>
  <w:endnote w:type="continuationSeparator" w:id="1">
    <w:p w:rsidR="00045E7C" w:rsidRDefault="00045E7C" w:rsidP="00A2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165"/>
      <w:docPartObj>
        <w:docPartGallery w:val="Page Numbers (Bottom of Page)"/>
        <w:docPartUnique/>
      </w:docPartObj>
    </w:sdtPr>
    <w:sdtContent>
      <w:p w:rsidR="00160219" w:rsidRDefault="00160219">
        <w:pPr>
          <w:pStyle w:val="a8"/>
          <w:jc w:val="center"/>
        </w:pPr>
        <w:fldSimple w:instr=" PAGE   \* MERGEFORMAT ">
          <w:r w:rsidR="00E8209A" w:rsidRPr="00E8209A">
            <w:rPr>
              <w:noProof/>
              <w:lang w:val="zh-CN"/>
            </w:rPr>
            <w:t>1</w:t>
          </w:r>
        </w:fldSimple>
      </w:p>
    </w:sdtContent>
  </w:sdt>
  <w:p w:rsidR="00160219" w:rsidRDefault="001602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7C" w:rsidRDefault="00045E7C" w:rsidP="00A27AE9">
      <w:r>
        <w:separator/>
      </w:r>
    </w:p>
  </w:footnote>
  <w:footnote w:type="continuationSeparator" w:id="1">
    <w:p w:rsidR="00045E7C" w:rsidRDefault="00045E7C" w:rsidP="00A27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D1"/>
    <w:rsid w:val="000019A7"/>
    <w:rsid w:val="00014330"/>
    <w:rsid w:val="00026610"/>
    <w:rsid w:val="00032666"/>
    <w:rsid w:val="00032EAF"/>
    <w:rsid w:val="00034992"/>
    <w:rsid w:val="00045E7C"/>
    <w:rsid w:val="000627B5"/>
    <w:rsid w:val="0006519B"/>
    <w:rsid w:val="000B384B"/>
    <w:rsid w:val="000B3FA6"/>
    <w:rsid w:val="000E2887"/>
    <w:rsid w:val="000F0FDF"/>
    <w:rsid w:val="000F6CC5"/>
    <w:rsid w:val="00110C28"/>
    <w:rsid w:val="00124862"/>
    <w:rsid w:val="00137685"/>
    <w:rsid w:val="001455AA"/>
    <w:rsid w:val="00153E28"/>
    <w:rsid w:val="00160219"/>
    <w:rsid w:val="001673D9"/>
    <w:rsid w:val="00193180"/>
    <w:rsid w:val="00195506"/>
    <w:rsid w:val="001A1043"/>
    <w:rsid w:val="001B5F67"/>
    <w:rsid w:val="001C1C7F"/>
    <w:rsid w:val="001C36A2"/>
    <w:rsid w:val="001C7F06"/>
    <w:rsid w:val="001D7D77"/>
    <w:rsid w:val="001E563E"/>
    <w:rsid w:val="00203AA1"/>
    <w:rsid w:val="002170A8"/>
    <w:rsid w:val="0021781A"/>
    <w:rsid w:val="002449AB"/>
    <w:rsid w:val="00253D85"/>
    <w:rsid w:val="0025664F"/>
    <w:rsid w:val="00272A19"/>
    <w:rsid w:val="00275E0D"/>
    <w:rsid w:val="002B3782"/>
    <w:rsid w:val="002C4DCE"/>
    <w:rsid w:val="002C72A1"/>
    <w:rsid w:val="002D4AD9"/>
    <w:rsid w:val="002E4AAB"/>
    <w:rsid w:val="00304F2C"/>
    <w:rsid w:val="0030735D"/>
    <w:rsid w:val="003333C2"/>
    <w:rsid w:val="00343B3E"/>
    <w:rsid w:val="003555E6"/>
    <w:rsid w:val="00376E56"/>
    <w:rsid w:val="003808D5"/>
    <w:rsid w:val="0038781E"/>
    <w:rsid w:val="0039770F"/>
    <w:rsid w:val="003B7C98"/>
    <w:rsid w:val="003D2FE2"/>
    <w:rsid w:val="003F26B6"/>
    <w:rsid w:val="003F4F87"/>
    <w:rsid w:val="003F6B49"/>
    <w:rsid w:val="00400BDA"/>
    <w:rsid w:val="00403AEC"/>
    <w:rsid w:val="00415A3B"/>
    <w:rsid w:val="0043404C"/>
    <w:rsid w:val="004374A8"/>
    <w:rsid w:val="00446A1D"/>
    <w:rsid w:val="00450CF4"/>
    <w:rsid w:val="004555D2"/>
    <w:rsid w:val="004600A0"/>
    <w:rsid w:val="00470896"/>
    <w:rsid w:val="00472266"/>
    <w:rsid w:val="00490BC3"/>
    <w:rsid w:val="00493E2A"/>
    <w:rsid w:val="004A686D"/>
    <w:rsid w:val="004D62A7"/>
    <w:rsid w:val="004F20C4"/>
    <w:rsid w:val="005114D8"/>
    <w:rsid w:val="00512B09"/>
    <w:rsid w:val="0051470E"/>
    <w:rsid w:val="00514DCB"/>
    <w:rsid w:val="0052416A"/>
    <w:rsid w:val="00554EB3"/>
    <w:rsid w:val="0056622C"/>
    <w:rsid w:val="00575620"/>
    <w:rsid w:val="00590DD1"/>
    <w:rsid w:val="00593747"/>
    <w:rsid w:val="005A04FA"/>
    <w:rsid w:val="00604DDB"/>
    <w:rsid w:val="00607522"/>
    <w:rsid w:val="0062104D"/>
    <w:rsid w:val="00633D4B"/>
    <w:rsid w:val="00635FB1"/>
    <w:rsid w:val="00642C16"/>
    <w:rsid w:val="00650C99"/>
    <w:rsid w:val="006854DD"/>
    <w:rsid w:val="006A0891"/>
    <w:rsid w:val="006A5106"/>
    <w:rsid w:val="006B368C"/>
    <w:rsid w:val="006E6397"/>
    <w:rsid w:val="006F7B11"/>
    <w:rsid w:val="0072007B"/>
    <w:rsid w:val="00724A50"/>
    <w:rsid w:val="00734D1C"/>
    <w:rsid w:val="00743D7B"/>
    <w:rsid w:val="007459C0"/>
    <w:rsid w:val="00747289"/>
    <w:rsid w:val="00752487"/>
    <w:rsid w:val="00761A27"/>
    <w:rsid w:val="00761E81"/>
    <w:rsid w:val="00763CD5"/>
    <w:rsid w:val="007922B9"/>
    <w:rsid w:val="007A7BCD"/>
    <w:rsid w:val="007B2013"/>
    <w:rsid w:val="007B3064"/>
    <w:rsid w:val="007D3A1C"/>
    <w:rsid w:val="007E5AA0"/>
    <w:rsid w:val="00805C8D"/>
    <w:rsid w:val="00807C33"/>
    <w:rsid w:val="008448AD"/>
    <w:rsid w:val="00852B7C"/>
    <w:rsid w:val="008B0A93"/>
    <w:rsid w:val="008C17E0"/>
    <w:rsid w:val="008C18F2"/>
    <w:rsid w:val="008F62C3"/>
    <w:rsid w:val="008F775F"/>
    <w:rsid w:val="0091146B"/>
    <w:rsid w:val="00931F82"/>
    <w:rsid w:val="009359E8"/>
    <w:rsid w:val="00941E11"/>
    <w:rsid w:val="00964610"/>
    <w:rsid w:val="00973F3F"/>
    <w:rsid w:val="00974CF7"/>
    <w:rsid w:val="009775AB"/>
    <w:rsid w:val="009814AC"/>
    <w:rsid w:val="009B483A"/>
    <w:rsid w:val="009D4981"/>
    <w:rsid w:val="009D6DED"/>
    <w:rsid w:val="009D6E21"/>
    <w:rsid w:val="009D7CE5"/>
    <w:rsid w:val="00A22DBC"/>
    <w:rsid w:val="00A27AE9"/>
    <w:rsid w:val="00A30C0C"/>
    <w:rsid w:val="00A342FA"/>
    <w:rsid w:val="00A3651B"/>
    <w:rsid w:val="00A50213"/>
    <w:rsid w:val="00A7538E"/>
    <w:rsid w:val="00A819D2"/>
    <w:rsid w:val="00A868D5"/>
    <w:rsid w:val="00AA0BA3"/>
    <w:rsid w:val="00AA224B"/>
    <w:rsid w:val="00AB5CC7"/>
    <w:rsid w:val="00AB6CC2"/>
    <w:rsid w:val="00AC321A"/>
    <w:rsid w:val="00B01A89"/>
    <w:rsid w:val="00B0560F"/>
    <w:rsid w:val="00B14622"/>
    <w:rsid w:val="00B15DE4"/>
    <w:rsid w:val="00B16EC1"/>
    <w:rsid w:val="00B53AB9"/>
    <w:rsid w:val="00B54419"/>
    <w:rsid w:val="00B55C89"/>
    <w:rsid w:val="00B5712F"/>
    <w:rsid w:val="00B644D9"/>
    <w:rsid w:val="00BB1A0A"/>
    <w:rsid w:val="00BC44C8"/>
    <w:rsid w:val="00BC53FE"/>
    <w:rsid w:val="00BD1675"/>
    <w:rsid w:val="00BF31C5"/>
    <w:rsid w:val="00BF7D6A"/>
    <w:rsid w:val="00C3374D"/>
    <w:rsid w:val="00C63934"/>
    <w:rsid w:val="00C670E2"/>
    <w:rsid w:val="00C81314"/>
    <w:rsid w:val="00C84495"/>
    <w:rsid w:val="00C86FD5"/>
    <w:rsid w:val="00CA08F2"/>
    <w:rsid w:val="00CA1FFC"/>
    <w:rsid w:val="00CB299F"/>
    <w:rsid w:val="00CB6768"/>
    <w:rsid w:val="00CC2E0F"/>
    <w:rsid w:val="00CC4E18"/>
    <w:rsid w:val="00CE6E89"/>
    <w:rsid w:val="00D17420"/>
    <w:rsid w:val="00D271D7"/>
    <w:rsid w:val="00D30972"/>
    <w:rsid w:val="00D45C9B"/>
    <w:rsid w:val="00D5071F"/>
    <w:rsid w:val="00D617DE"/>
    <w:rsid w:val="00D64648"/>
    <w:rsid w:val="00D64F95"/>
    <w:rsid w:val="00D83F64"/>
    <w:rsid w:val="00D84C14"/>
    <w:rsid w:val="00DA5287"/>
    <w:rsid w:val="00DC002C"/>
    <w:rsid w:val="00DC4161"/>
    <w:rsid w:val="00DD2ACB"/>
    <w:rsid w:val="00DD6C49"/>
    <w:rsid w:val="00E122D0"/>
    <w:rsid w:val="00E21CE9"/>
    <w:rsid w:val="00E25E8B"/>
    <w:rsid w:val="00E2624A"/>
    <w:rsid w:val="00E426DC"/>
    <w:rsid w:val="00E459BD"/>
    <w:rsid w:val="00E8209A"/>
    <w:rsid w:val="00E84A01"/>
    <w:rsid w:val="00E95875"/>
    <w:rsid w:val="00EE22A5"/>
    <w:rsid w:val="00F258D9"/>
    <w:rsid w:val="00F406EA"/>
    <w:rsid w:val="00F40F4F"/>
    <w:rsid w:val="00F531C1"/>
    <w:rsid w:val="00F54E8D"/>
    <w:rsid w:val="00F6633B"/>
    <w:rsid w:val="00F73DEF"/>
    <w:rsid w:val="00F973A8"/>
    <w:rsid w:val="00FA4131"/>
    <w:rsid w:val="00FB174B"/>
    <w:rsid w:val="00FC0B43"/>
    <w:rsid w:val="00FE19D6"/>
    <w:rsid w:val="00FE54C3"/>
    <w:rsid w:val="00FE5633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DD1"/>
    <w:rPr>
      <w:strike w:val="0"/>
      <w:dstrike w:val="0"/>
      <w:color w:val="272B3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90DD1"/>
    <w:rPr>
      <w:strike w:val="0"/>
      <w:dstrike w:val="0"/>
      <w:color w:val="272B30"/>
      <w:u w:val="none"/>
      <w:effect w:val="none"/>
    </w:rPr>
  </w:style>
  <w:style w:type="paragraph" w:customStyle="1" w:styleId="dropdown">
    <w:name w:val="dropdown"/>
    <w:basedOn w:val="a"/>
    <w:rsid w:val="00590DD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rophead">
    <w:name w:val="drophead"/>
    <w:basedOn w:val="a"/>
    <w:rsid w:val="00590DD1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333333"/>
      <w:kern w:val="0"/>
      <w:sz w:val="14"/>
      <w:szCs w:val="14"/>
    </w:rPr>
  </w:style>
  <w:style w:type="paragraph" w:customStyle="1" w:styleId="foxinput">
    <w:name w:val="foxinput"/>
    <w:basedOn w:val="a"/>
    <w:rsid w:val="00590DD1"/>
    <w:pPr>
      <w:widowControl/>
      <w:pBdr>
        <w:top w:val="single" w:sz="6" w:space="2" w:color="C5D9EE"/>
        <w:left w:val="single" w:sz="6" w:space="0" w:color="C5D9EE"/>
        <w:bottom w:val="single" w:sz="6" w:space="0" w:color="C5D9EE"/>
        <w:right w:val="single" w:sz="6" w:space="0" w:color="C5D9EE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B70000"/>
      <w:kern w:val="0"/>
      <w:sz w:val="18"/>
      <w:szCs w:val="18"/>
    </w:rPr>
  </w:style>
  <w:style w:type="paragraph" w:customStyle="1" w:styleId="f1">
    <w:name w:val="f1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30000"/>
      <w:kern w:val="0"/>
      <w:sz w:val="24"/>
      <w:szCs w:val="24"/>
    </w:rPr>
  </w:style>
  <w:style w:type="paragraph" w:customStyle="1" w:styleId="f2">
    <w:name w:val="f2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f3">
    <w:name w:val="f3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3966"/>
      <w:kern w:val="0"/>
      <w:sz w:val="20"/>
      <w:szCs w:val="20"/>
    </w:rPr>
  </w:style>
  <w:style w:type="paragraph" w:customStyle="1" w:styleId="f4">
    <w:name w:val="f4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5">
    <w:name w:val="f5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966"/>
      <w:kern w:val="0"/>
      <w:sz w:val="24"/>
      <w:szCs w:val="24"/>
    </w:rPr>
  </w:style>
  <w:style w:type="paragraph" w:customStyle="1" w:styleId="f6">
    <w:name w:val="f6"/>
    <w:basedOn w:val="a"/>
    <w:rsid w:val="00590DD1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7">
    <w:name w:val="f7"/>
    <w:basedOn w:val="a"/>
    <w:rsid w:val="00590DD1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590DD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90DD1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A2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27AE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27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27AE9"/>
    <w:rPr>
      <w:sz w:val="18"/>
      <w:szCs w:val="18"/>
    </w:rPr>
  </w:style>
  <w:style w:type="table" w:styleId="a9">
    <w:name w:val="Light Shading"/>
    <w:basedOn w:val="a1"/>
    <w:uiPriority w:val="60"/>
    <w:rsid w:val="003D2FE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a">
    <w:name w:val="Table Grid"/>
    <w:basedOn w:val="a1"/>
    <w:uiPriority w:val="59"/>
    <w:rsid w:val="003D2F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地区生产总值（亿元）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148.36000000000001</c:v>
                </c:pt>
                <c:pt idx="1">
                  <c:v>165.38000000000093</c:v>
                </c:pt>
                <c:pt idx="2">
                  <c:v>165.54</c:v>
                </c:pt>
                <c:pt idx="3">
                  <c:v>165.6</c:v>
                </c:pt>
                <c:pt idx="4">
                  <c:v>161.70999999999998</c:v>
                </c:pt>
              </c:numCache>
            </c:numRef>
          </c:val>
        </c:ser>
        <c:dLbls>
          <c:showVal val="1"/>
        </c:dLbls>
        <c:gapWidth val="124"/>
        <c:axId val="100830592"/>
        <c:axId val="118395648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Pos val="t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15.2</c:v>
                </c:pt>
                <c:pt idx="1">
                  <c:v>9.7000000000000011</c:v>
                </c:pt>
                <c:pt idx="2">
                  <c:v>9.8000000000000007</c:v>
                </c:pt>
                <c:pt idx="3">
                  <c:v>6.3</c:v>
                </c:pt>
                <c:pt idx="4">
                  <c:v>2.1</c:v>
                </c:pt>
              </c:numCache>
            </c:numRef>
          </c:val>
        </c:ser>
        <c:dLbls>
          <c:showVal val="1"/>
        </c:dLbls>
        <c:marker val="1"/>
        <c:axId val="118411648"/>
        <c:axId val="118397184"/>
      </c:lineChart>
      <c:catAx>
        <c:axId val="100830592"/>
        <c:scaling>
          <c:orientation val="minMax"/>
        </c:scaling>
        <c:axPos val="b"/>
        <c:tickLblPos val="nextTo"/>
        <c:crossAx val="118395648"/>
        <c:crosses val="autoZero"/>
        <c:auto val="1"/>
        <c:lblAlgn val="ctr"/>
        <c:lblOffset val="100"/>
      </c:catAx>
      <c:valAx>
        <c:axId val="118395648"/>
        <c:scaling>
          <c:orientation val="minMax"/>
          <c:max val="2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100830592"/>
        <c:crosses val="autoZero"/>
        <c:crossBetween val="between"/>
        <c:majorUnit val="50"/>
        <c:minorUnit val="1"/>
      </c:valAx>
      <c:valAx>
        <c:axId val="118397184"/>
        <c:scaling>
          <c:orientation val="minMax"/>
          <c:max val="30"/>
          <c:min val="0"/>
        </c:scaling>
        <c:axPos val="r"/>
        <c:numFmt formatCode="General" sourceLinked="1"/>
        <c:tickLblPos val="nextTo"/>
        <c:spPr>
          <a:ln w="25400" cap="rnd">
            <a:solidFill>
              <a:schemeClr val="bg1">
                <a:lumMod val="75000"/>
              </a:schemeClr>
            </a:solidFill>
            <a:headEnd type="none"/>
          </a:ln>
        </c:spPr>
        <c:crossAx val="118411648"/>
        <c:crosses val="max"/>
        <c:crossBetween val="between"/>
        <c:majorUnit val="5"/>
        <c:minorUnit val="0.4"/>
      </c:valAx>
      <c:catAx>
        <c:axId val="118411648"/>
        <c:scaling>
          <c:orientation val="minMax"/>
        </c:scaling>
        <c:delete val="1"/>
        <c:axPos val="b"/>
        <c:tickLblPos val="nextTo"/>
        <c:crossAx val="118397184"/>
        <c:crosses val="autoZero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768E-2"/>
          <c:y val="0.13477572446301317"/>
          <c:w val="0.80604118993134644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公共财政预算收入（亿元）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8.67</c:v>
                </c:pt>
                <c:pt idx="1">
                  <c:v>9.4600000000000026</c:v>
                </c:pt>
                <c:pt idx="2">
                  <c:v>11.46</c:v>
                </c:pt>
                <c:pt idx="3">
                  <c:v>11.47</c:v>
                </c:pt>
                <c:pt idx="4">
                  <c:v>6.53</c:v>
                </c:pt>
              </c:numCache>
            </c:numRef>
          </c:val>
        </c:ser>
        <c:dLbls>
          <c:showVal val="1"/>
        </c:dLbls>
        <c:gapWidth val="124"/>
        <c:axId val="241458560"/>
        <c:axId val="241481216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4"/>
              <c:layout>
                <c:manualLayout>
                  <c:x val="6.1022120518688114E-3"/>
                  <c:y val="-0.15716136243425846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11.3</c:v>
                </c:pt>
                <c:pt idx="1">
                  <c:v>9.2000000000000011</c:v>
                </c:pt>
                <c:pt idx="2">
                  <c:v>21.1</c:v>
                </c:pt>
                <c:pt idx="3">
                  <c:v>0.1</c:v>
                </c:pt>
                <c:pt idx="4">
                  <c:v>-43.1</c:v>
                </c:pt>
              </c:numCache>
            </c:numRef>
          </c:val>
        </c:ser>
        <c:dLbls>
          <c:showVal val="1"/>
        </c:dLbls>
        <c:marker val="1"/>
        <c:axId val="241655168"/>
        <c:axId val="241653632"/>
      </c:lineChart>
      <c:catAx>
        <c:axId val="241458560"/>
        <c:scaling>
          <c:orientation val="minMax"/>
        </c:scaling>
        <c:axPos val="b"/>
        <c:tickLblPos val="nextTo"/>
        <c:crossAx val="241481216"/>
        <c:crossesAt val="0"/>
        <c:auto val="1"/>
        <c:lblAlgn val="ctr"/>
        <c:lblOffset val="100"/>
      </c:catAx>
      <c:valAx>
        <c:axId val="241481216"/>
        <c:scaling>
          <c:orientation val="minMax"/>
          <c:max val="12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241458560"/>
        <c:crosses val="autoZero"/>
        <c:crossBetween val="between"/>
        <c:majorUnit val="4"/>
        <c:minorUnit val="1"/>
      </c:valAx>
      <c:valAx>
        <c:axId val="241653632"/>
        <c:scaling>
          <c:orientation val="minMax"/>
          <c:max val="45"/>
          <c:min val="-45"/>
        </c:scaling>
        <c:axPos val="r"/>
        <c:numFmt formatCode="General" sourceLinked="1"/>
        <c:tickLblPos val="nextTo"/>
        <c:crossAx val="241655168"/>
        <c:crosses val="max"/>
        <c:crossBetween val="between"/>
        <c:majorUnit val="15"/>
        <c:minorUnit val="0.4"/>
      </c:valAx>
      <c:catAx>
        <c:axId val="241655168"/>
        <c:scaling>
          <c:orientation val="minMax"/>
        </c:scaling>
        <c:delete val="1"/>
        <c:axPos val="b"/>
        <c:tickLblPos val="nextTo"/>
        <c:crossAx val="241653632"/>
        <c:crossesAt val="0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268E-2"/>
          <c:y val="0.13477572446301317"/>
          <c:w val="0.80604118993134621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5381051195315319E-2"/>
          <c:y val="0.18283985163011646"/>
          <c:w val="0.89295829898519063"/>
          <c:h val="0.7449699572677386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规模以上工业增加值增长速度(%)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4"/>
              <c:layout>
                <c:manualLayout>
                  <c:x val="1.4440433212996401E-2"/>
                  <c:y val="3.8567493112947625E-2"/>
                </c:manualLayout>
              </c:layout>
              <c:dLblPos val="t"/>
              <c:showVal val="1"/>
            </c:dLbl>
            <c:dLblPos val="t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23.2</c:v>
                </c:pt>
                <c:pt idx="1">
                  <c:v>13.2</c:v>
                </c:pt>
                <c:pt idx="2">
                  <c:v>13.5</c:v>
                </c:pt>
                <c:pt idx="3" formatCode="0.0_ ">
                  <c:v>9</c:v>
                </c:pt>
                <c:pt idx="4">
                  <c:v>-2.6</c:v>
                </c:pt>
              </c:numCache>
            </c:numRef>
          </c:val>
        </c:ser>
        <c:marker val="1"/>
        <c:axId val="241923200"/>
        <c:axId val="241924736"/>
      </c:lineChart>
      <c:catAx>
        <c:axId val="241923200"/>
        <c:scaling>
          <c:orientation val="minMax"/>
        </c:scaling>
        <c:axPos val="b"/>
        <c:tickLblPos val="nextTo"/>
        <c:spPr>
          <a:ln w="12700">
            <a:solidFill>
              <a:schemeClr val="bg1">
                <a:lumMod val="75000"/>
              </a:schemeClr>
            </a:solidFill>
          </a:ln>
        </c:spPr>
        <c:crossAx val="241924736"/>
        <c:crossesAt val="0"/>
        <c:auto val="1"/>
        <c:lblAlgn val="ctr"/>
        <c:lblOffset val="100"/>
      </c:catAx>
      <c:valAx>
        <c:axId val="241924736"/>
        <c:scaling>
          <c:orientation val="minMax"/>
          <c:max val="30"/>
          <c:min val="-10"/>
        </c:scaling>
        <c:axPos val="l"/>
        <c:numFmt formatCode="General" sourceLinked="1"/>
        <c:tickLblPos val="nextTo"/>
        <c:spPr>
          <a:ln w="15875">
            <a:solidFill>
              <a:schemeClr val="bg1">
                <a:lumMod val="75000"/>
              </a:schemeClr>
            </a:solidFill>
          </a:ln>
        </c:spPr>
        <c:crossAx val="241923200"/>
        <c:crosses val="autoZero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0.25854155414688679"/>
          <c:y val="3.3057851239669422E-2"/>
          <c:w val="0.48291689170622837"/>
          <c:h val="7.7591809288301783E-2"/>
        </c:manualLayout>
      </c:layout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固定资产投资（亿元）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80.59</c:v>
                </c:pt>
                <c:pt idx="1">
                  <c:v>101.4</c:v>
                </c:pt>
                <c:pt idx="2">
                  <c:v>138.73999999999998</c:v>
                </c:pt>
                <c:pt idx="3">
                  <c:v>141.16</c:v>
                </c:pt>
                <c:pt idx="4">
                  <c:v>163.80000000000001</c:v>
                </c:pt>
              </c:numCache>
            </c:numRef>
          </c:val>
        </c:ser>
        <c:dLbls>
          <c:showVal val="1"/>
        </c:dLbls>
        <c:gapWidth val="124"/>
        <c:axId val="242249088"/>
        <c:axId val="242427392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3"/>
              <c:layout>
                <c:manualLayout>
                  <c:x val="-3.0511060259344092E-3"/>
                  <c:y val="-0.13688212927756652"/>
                </c:manualLayout>
              </c:layout>
              <c:dLblPos val="b"/>
              <c:showVal val="1"/>
            </c:dLbl>
            <c:dLbl>
              <c:idx val="4"/>
              <c:layout>
                <c:manualLayout>
                  <c:x val="6.1022120518688114E-3"/>
                  <c:y val="-0.15716136243425846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26.9</c:v>
                </c:pt>
                <c:pt idx="1">
                  <c:v>25.8</c:v>
                </c:pt>
                <c:pt idx="2" formatCode="0.0_ ">
                  <c:v>37</c:v>
                </c:pt>
                <c:pt idx="3">
                  <c:v>1.6</c:v>
                </c:pt>
                <c:pt idx="4" formatCode="0.0_ ">
                  <c:v>16</c:v>
                </c:pt>
              </c:numCache>
            </c:numRef>
          </c:val>
        </c:ser>
        <c:dLbls>
          <c:showVal val="1"/>
        </c:dLbls>
        <c:marker val="1"/>
        <c:axId val="242746112"/>
        <c:axId val="242428928"/>
      </c:lineChart>
      <c:catAx>
        <c:axId val="242249088"/>
        <c:scaling>
          <c:orientation val="minMax"/>
        </c:scaling>
        <c:axPos val="b"/>
        <c:tickLblPos val="nextTo"/>
        <c:crossAx val="242427392"/>
        <c:crossesAt val="0"/>
        <c:auto val="1"/>
        <c:lblAlgn val="ctr"/>
        <c:lblOffset val="100"/>
      </c:catAx>
      <c:valAx>
        <c:axId val="242427392"/>
        <c:scaling>
          <c:orientation val="minMax"/>
          <c:max val="2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242249088"/>
        <c:crosses val="autoZero"/>
        <c:crossBetween val="between"/>
        <c:majorUnit val="50"/>
        <c:minorUnit val="1"/>
      </c:valAx>
      <c:valAx>
        <c:axId val="242428928"/>
        <c:scaling>
          <c:orientation val="minMax"/>
          <c:max val="100"/>
          <c:min val="0"/>
        </c:scaling>
        <c:axPos val="r"/>
        <c:numFmt formatCode="General" sourceLinked="1"/>
        <c:tickLblPos val="nextTo"/>
        <c:crossAx val="242746112"/>
        <c:crosses val="max"/>
        <c:crossBetween val="between"/>
        <c:majorUnit val="20"/>
        <c:minorUnit val="0.4"/>
      </c:valAx>
      <c:catAx>
        <c:axId val="242746112"/>
        <c:scaling>
          <c:orientation val="minMax"/>
        </c:scaling>
        <c:delete val="1"/>
        <c:axPos val="b"/>
        <c:tickLblPos val="nextTo"/>
        <c:crossAx val="242428928"/>
        <c:crossesAt val="0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268E-2"/>
          <c:y val="0.13477572446301317"/>
          <c:w val="0.80604118993134599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海关进出口总额（万美元）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Sheet1!$B$1:$E$1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14265</c:v>
                </c:pt>
                <c:pt idx="1">
                  <c:v>9641</c:v>
                </c:pt>
                <c:pt idx="2">
                  <c:v>7381</c:v>
                </c:pt>
                <c:pt idx="3">
                  <c:v>7344</c:v>
                </c:pt>
              </c:numCache>
            </c:numRef>
          </c:val>
        </c:ser>
        <c:dLbls>
          <c:showVal val="1"/>
        </c:dLbls>
        <c:gapWidth val="124"/>
        <c:axId val="244533504"/>
        <c:axId val="244568064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1"/>
              <c:layout>
                <c:manualLayout>
                  <c:x val="8.6393088552915182E-3"/>
                  <c:y val="-0.1294964028776992"/>
                </c:manualLayout>
              </c:layout>
              <c:dLblPos val="b"/>
              <c:showVal val="1"/>
            </c:dLbl>
            <c:dLbl>
              <c:idx val="2"/>
              <c:layout>
                <c:manualLayout>
                  <c:x val="-1.1519078473722105E-2"/>
                  <c:y val="-0.12949640287769912"/>
                </c:manualLayout>
              </c:layout>
              <c:dLblPos val="b"/>
              <c:showVal val="1"/>
            </c:dLbl>
            <c:dLbl>
              <c:idx val="3"/>
              <c:layout>
                <c:manualLayout>
                  <c:x val="-3.0511060259344092E-3"/>
                  <c:y val="-0.13688212927756652"/>
                </c:manualLayout>
              </c:layout>
              <c:dLblPos val="b"/>
              <c:showVal val="1"/>
            </c:dLbl>
            <c:dLbl>
              <c:idx val="4"/>
              <c:layout>
                <c:manualLayout>
                  <c:x val="6.1022120518688114E-3"/>
                  <c:y val="-0.15716136243425846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Sheet1!$B$1:$E$1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Sheet1!$B$3:$E$3</c:f>
              <c:numCache>
                <c:formatCode>0.0_ </c:formatCode>
                <c:ptCount val="4"/>
                <c:pt idx="0">
                  <c:v>11</c:v>
                </c:pt>
                <c:pt idx="1">
                  <c:v>-32.4</c:v>
                </c:pt>
                <c:pt idx="2" formatCode="General">
                  <c:v>-23.4</c:v>
                </c:pt>
                <c:pt idx="3" formatCode="General">
                  <c:v>-0.5</c:v>
                </c:pt>
              </c:numCache>
            </c:numRef>
          </c:val>
        </c:ser>
        <c:dLbls>
          <c:showVal val="1"/>
        </c:dLbls>
        <c:marker val="1"/>
        <c:axId val="245358976"/>
        <c:axId val="244570368"/>
      </c:lineChart>
      <c:catAx>
        <c:axId val="244533504"/>
        <c:scaling>
          <c:orientation val="minMax"/>
        </c:scaling>
        <c:axPos val="b"/>
        <c:tickLblPos val="nextTo"/>
        <c:crossAx val="244568064"/>
        <c:crossesAt val="0"/>
        <c:auto val="1"/>
        <c:lblAlgn val="ctr"/>
        <c:lblOffset val="100"/>
      </c:catAx>
      <c:valAx>
        <c:axId val="244568064"/>
        <c:scaling>
          <c:orientation val="minMax"/>
          <c:max val="150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244533504"/>
        <c:crosses val="autoZero"/>
        <c:crossBetween val="between"/>
        <c:majorUnit val="3000"/>
        <c:minorUnit val="1"/>
      </c:valAx>
      <c:valAx>
        <c:axId val="244570368"/>
        <c:scaling>
          <c:orientation val="minMax"/>
          <c:max val="20"/>
          <c:min val="-40"/>
        </c:scaling>
        <c:axPos val="r"/>
        <c:numFmt formatCode="0.0_ " sourceLinked="1"/>
        <c:tickLblPos val="nextTo"/>
        <c:crossAx val="245358976"/>
        <c:crosses val="max"/>
        <c:crossBetween val="between"/>
        <c:majorUnit val="10"/>
        <c:minorUnit val="0.4"/>
      </c:valAx>
      <c:catAx>
        <c:axId val="245358976"/>
        <c:scaling>
          <c:orientation val="minMax"/>
        </c:scaling>
        <c:delete val="1"/>
        <c:axPos val="b"/>
        <c:tickLblPos val="nextTo"/>
        <c:crossAx val="244570368"/>
        <c:crossesAt val="0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268E-2"/>
          <c:y val="0.13477572446301317"/>
          <c:w val="0.80604118993134577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固定电话（万部）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9.0400000000000009</c:v>
                </c:pt>
                <c:pt idx="1">
                  <c:v>8.7399999999999984</c:v>
                </c:pt>
                <c:pt idx="2">
                  <c:v>7.05</c:v>
                </c:pt>
                <c:pt idx="3">
                  <c:v>5.1499999999999995</c:v>
                </c:pt>
                <c:pt idx="4">
                  <c:v>6.14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移动电话（万户）</c:v>
                </c:pt>
              </c:strCache>
            </c:strRef>
          </c:tx>
          <c:spPr>
            <a:solidFill>
              <a:srgbClr val="3FCD6E"/>
            </a:solidFill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36.790000000000013</c:v>
                </c:pt>
                <c:pt idx="1">
                  <c:v>42.809999999999995</c:v>
                </c:pt>
                <c:pt idx="2">
                  <c:v>50.78</c:v>
                </c:pt>
                <c:pt idx="3" formatCode="0.00_ ">
                  <c:v>50.8</c:v>
                </c:pt>
                <c:pt idx="4">
                  <c:v>49.48</c:v>
                </c:pt>
              </c:numCache>
            </c:numRef>
          </c:val>
        </c:ser>
        <c:dLbls>
          <c:showVal val="1"/>
        </c:dLbls>
        <c:axId val="242780416"/>
        <c:axId val="242790400"/>
      </c:barChart>
      <c:catAx>
        <c:axId val="242780416"/>
        <c:scaling>
          <c:orientation val="minMax"/>
        </c:scaling>
        <c:axPos val="b"/>
        <c:tickLblPos val="nextTo"/>
        <c:crossAx val="242790400"/>
        <c:crosses val="autoZero"/>
        <c:auto val="1"/>
        <c:lblAlgn val="ctr"/>
        <c:lblOffset val="100"/>
      </c:catAx>
      <c:valAx>
        <c:axId val="242790400"/>
        <c:scaling>
          <c:orientation val="minMax"/>
        </c:scaling>
        <c:axPos val="l"/>
        <c:numFmt formatCode="General" sourceLinked="1"/>
        <c:tickLblPos val="nextTo"/>
        <c:crossAx val="24278041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城乡居民储蓄存款（亿元）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95.42</c:v>
                </c:pt>
                <c:pt idx="1">
                  <c:v>110.03</c:v>
                </c:pt>
                <c:pt idx="2">
                  <c:v>123.29</c:v>
                </c:pt>
                <c:pt idx="3">
                  <c:v>135.78</c:v>
                </c:pt>
                <c:pt idx="4">
                  <c:v>145.91999999999999</c:v>
                </c:pt>
              </c:numCache>
            </c:numRef>
          </c:val>
        </c:ser>
        <c:dLbls>
          <c:showVal val="1"/>
        </c:dLbls>
        <c:gapWidth val="124"/>
        <c:axId val="242808704"/>
        <c:axId val="242810240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0"/>
              <c:layout>
                <c:manualLayout>
                  <c:x val="0"/>
                  <c:y val="3.5487959442332066E-2"/>
                </c:manualLayout>
              </c:layout>
              <c:dLblPos val="t"/>
              <c:showVal val="1"/>
            </c:dLbl>
            <c:dLblPos val="t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15.1</c:v>
                </c:pt>
                <c:pt idx="1">
                  <c:v>15.3</c:v>
                </c:pt>
                <c:pt idx="2" formatCode="0.0_ ">
                  <c:v>12</c:v>
                </c:pt>
                <c:pt idx="3">
                  <c:v>10.1</c:v>
                </c:pt>
                <c:pt idx="4" formatCode="0.0_ ">
                  <c:v>7</c:v>
                </c:pt>
              </c:numCache>
            </c:numRef>
          </c:val>
        </c:ser>
        <c:dLbls>
          <c:showVal val="1"/>
        </c:dLbls>
        <c:marker val="1"/>
        <c:axId val="243034752"/>
        <c:axId val="243033216"/>
      </c:lineChart>
      <c:catAx>
        <c:axId val="242808704"/>
        <c:scaling>
          <c:orientation val="minMax"/>
        </c:scaling>
        <c:axPos val="b"/>
        <c:tickLblPos val="nextTo"/>
        <c:crossAx val="242810240"/>
        <c:crosses val="autoZero"/>
        <c:auto val="1"/>
        <c:lblAlgn val="ctr"/>
        <c:lblOffset val="100"/>
      </c:catAx>
      <c:valAx>
        <c:axId val="242810240"/>
        <c:scaling>
          <c:orientation val="minMax"/>
          <c:max val="15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242808704"/>
        <c:crosses val="autoZero"/>
        <c:crossBetween val="between"/>
        <c:majorUnit val="50"/>
        <c:minorUnit val="1"/>
      </c:valAx>
      <c:valAx>
        <c:axId val="243033216"/>
        <c:scaling>
          <c:orientation val="minMax"/>
          <c:max val="30"/>
          <c:min val="0"/>
        </c:scaling>
        <c:axPos val="r"/>
        <c:numFmt formatCode="General" sourceLinked="1"/>
        <c:tickLblPos val="nextTo"/>
        <c:spPr>
          <a:ln w="25400" cap="rnd">
            <a:solidFill>
              <a:schemeClr val="bg1">
                <a:lumMod val="75000"/>
              </a:schemeClr>
            </a:solidFill>
            <a:headEnd type="none"/>
          </a:ln>
        </c:spPr>
        <c:crossAx val="243034752"/>
        <c:crosses val="max"/>
        <c:crossBetween val="between"/>
        <c:majorUnit val="5"/>
        <c:minorUnit val="0.4"/>
      </c:valAx>
      <c:catAx>
        <c:axId val="243034752"/>
        <c:scaling>
          <c:orientation val="minMax"/>
        </c:scaling>
        <c:delete val="1"/>
        <c:axPos val="b"/>
        <c:tickLblPos val="nextTo"/>
        <c:crossAx val="243033216"/>
        <c:crosses val="autoZero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268E-2"/>
          <c:y val="0.13477572446301317"/>
          <c:w val="0.80604118993134621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城镇居民人均可支配收入（元）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16693</c:v>
                </c:pt>
                <c:pt idx="1">
                  <c:v>18319</c:v>
                </c:pt>
                <c:pt idx="2">
                  <c:v>20096</c:v>
                </c:pt>
                <c:pt idx="3">
                  <c:v>21615</c:v>
                </c:pt>
                <c:pt idx="4">
                  <c:v>23344</c:v>
                </c:pt>
              </c:numCache>
            </c:numRef>
          </c:val>
        </c:ser>
        <c:dLbls>
          <c:showVal val="1"/>
        </c:dLbls>
        <c:gapWidth val="124"/>
        <c:axId val="241853568"/>
        <c:axId val="241855104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4"/>
              <c:layout>
                <c:manualLayout>
                  <c:x val="6.1022120518688114E-3"/>
                  <c:y val="-0.15716136243425846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 formatCode="0.0_ ">
                  <c:v>12</c:v>
                </c:pt>
                <c:pt idx="1">
                  <c:v>9.7000000000000011</c:v>
                </c:pt>
                <c:pt idx="2">
                  <c:v>9.7000000000000011</c:v>
                </c:pt>
                <c:pt idx="3">
                  <c:v>7.7</c:v>
                </c:pt>
                <c:pt idx="4">
                  <c:v>7.5</c:v>
                </c:pt>
              </c:numCache>
            </c:numRef>
          </c:val>
        </c:ser>
        <c:dLbls>
          <c:showVal val="1"/>
        </c:dLbls>
        <c:marker val="1"/>
        <c:axId val="242616192"/>
        <c:axId val="242614656"/>
      </c:lineChart>
      <c:catAx>
        <c:axId val="241853568"/>
        <c:scaling>
          <c:orientation val="minMax"/>
        </c:scaling>
        <c:axPos val="b"/>
        <c:tickLblPos val="nextTo"/>
        <c:crossAx val="241855104"/>
        <c:crossesAt val="0"/>
        <c:auto val="1"/>
        <c:lblAlgn val="ctr"/>
        <c:lblOffset val="100"/>
      </c:catAx>
      <c:valAx>
        <c:axId val="241855104"/>
        <c:scaling>
          <c:orientation val="minMax"/>
          <c:max val="300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241853568"/>
        <c:crosses val="autoZero"/>
        <c:crossBetween val="between"/>
        <c:majorUnit val="5000"/>
        <c:minorUnit val="1"/>
      </c:valAx>
      <c:valAx>
        <c:axId val="242614656"/>
        <c:scaling>
          <c:orientation val="minMax"/>
          <c:max val="25"/>
          <c:min val="0"/>
        </c:scaling>
        <c:axPos val="r"/>
        <c:numFmt formatCode="0.0_ " sourceLinked="1"/>
        <c:tickLblPos val="nextTo"/>
        <c:crossAx val="242616192"/>
        <c:crosses val="max"/>
        <c:crossBetween val="between"/>
        <c:majorUnit val="5"/>
        <c:minorUnit val="0.4"/>
      </c:valAx>
      <c:catAx>
        <c:axId val="242616192"/>
        <c:scaling>
          <c:orientation val="minMax"/>
        </c:scaling>
        <c:delete val="1"/>
        <c:axPos val="b"/>
        <c:tickLblPos val="nextTo"/>
        <c:crossAx val="242614656"/>
        <c:crossesAt val="0"/>
        <c:auto val="1"/>
        <c:lblAlgn val="ctr"/>
        <c:lblOffset val="100"/>
      </c:catAx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农村居民人均可支配收入（元）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6757</c:v>
                </c:pt>
                <c:pt idx="1">
                  <c:v>7359</c:v>
                </c:pt>
                <c:pt idx="2">
                  <c:v>8249</c:v>
                </c:pt>
                <c:pt idx="3">
                  <c:v>9294</c:v>
                </c:pt>
                <c:pt idx="4">
                  <c:v>9921</c:v>
                </c:pt>
              </c:numCache>
            </c:numRef>
          </c:val>
        </c:ser>
        <c:dLbls>
          <c:showVal val="1"/>
        </c:dLbls>
        <c:gapWidth val="124"/>
        <c:axId val="244339072"/>
        <c:axId val="244340608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4"/>
              <c:layout>
                <c:manualLayout>
                  <c:x val="6.1022120518688114E-3"/>
                  <c:y val="-0.15716136243425846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Sheet1!$B$1:$F$1</c:f>
              <c:strCach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 formatCode="0.0_ ">
                  <c:v>14</c:v>
                </c:pt>
                <c:pt idx="1">
                  <c:v>8.9</c:v>
                </c:pt>
                <c:pt idx="2">
                  <c:v>12.1</c:v>
                </c:pt>
                <c:pt idx="3" formatCode="0.0_ ">
                  <c:v>12</c:v>
                </c:pt>
                <c:pt idx="4">
                  <c:v>6.8</c:v>
                </c:pt>
              </c:numCache>
            </c:numRef>
          </c:val>
        </c:ser>
        <c:dLbls>
          <c:showVal val="1"/>
        </c:dLbls>
        <c:marker val="1"/>
        <c:axId val="244360320"/>
        <c:axId val="244342144"/>
      </c:lineChart>
      <c:catAx>
        <c:axId val="244339072"/>
        <c:scaling>
          <c:orientation val="minMax"/>
        </c:scaling>
        <c:axPos val="b"/>
        <c:tickLblPos val="nextTo"/>
        <c:crossAx val="244340608"/>
        <c:crossesAt val="0"/>
        <c:auto val="1"/>
        <c:lblAlgn val="ctr"/>
        <c:lblOffset val="100"/>
      </c:catAx>
      <c:valAx>
        <c:axId val="244340608"/>
        <c:scaling>
          <c:orientation val="minMax"/>
          <c:max val="100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244339072"/>
        <c:crosses val="autoZero"/>
        <c:crossBetween val="between"/>
        <c:majorUnit val="2000"/>
        <c:minorUnit val="1"/>
      </c:valAx>
      <c:valAx>
        <c:axId val="244342144"/>
        <c:scaling>
          <c:orientation val="minMax"/>
          <c:max val="25"/>
          <c:min val="0"/>
        </c:scaling>
        <c:axPos val="r"/>
        <c:numFmt formatCode="0.0_ " sourceLinked="1"/>
        <c:tickLblPos val="nextTo"/>
        <c:crossAx val="244360320"/>
        <c:crosses val="max"/>
        <c:crossBetween val="between"/>
        <c:majorUnit val="5"/>
        <c:minorUnit val="0.4"/>
      </c:valAx>
      <c:catAx>
        <c:axId val="244360320"/>
        <c:scaling>
          <c:orientation val="minMax"/>
        </c:scaling>
        <c:delete val="1"/>
        <c:axPos val="b"/>
        <c:tickLblPos val="nextTo"/>
        <c:crossAx val="244342144"/>
        <c:crossesAt val="0"/>
        <c:auto val="1"/>
        <c:lblAlgn val="ctr"/>
        <c:lblOffset val="100"/>
      </c:catAx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A0D2-1DB1-471E-B43F-F25F0BB3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21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134</cp:revision>
  <cp:lastPrinted>2016-04-14T07:47:00Z</cp:lastPrinted>
  <dcterms:created xsi:type="dcterms:W3CDTF">2016-03-17T01:29:00Z</dcterms:created>
  <dcterms:modified xsi:type="dcterms:W3CDTF">2016-04-14T07:52:00Z</dcterms:modified>
</cp:coreProperties>
</file>